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FFA5F" w14:textId="77777777" w:rsidR="00AB3AA8" w:rsidRDefault="00AB3AA8" w:rsidP="00AB3AA8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DA</w:t>
      </w:r>
    </w:p>
    <w:p w14:paraId="21950E32" w14:textId="77777777" w:rsidR="00AB3AA8" w:rsidRDefault="00AB3AA8" w:rsidP="00AB3AA8">
      <w:pPr>
        <w:rPr>
          <w:rFonts w:asciiTheme="minorHAnsi" w:hAnsiTheme="minorHAnsi"/>
          <w:sz w:val="22"/>
        </w:rPr>
      </w:pPr>
    </w:p>
    <w:p w14:paraId="7630D4F1" w14:textId="77777777" w:rsidR="00393F1E" w:rsidRPr="00037E7B" w:rsidRDefault="00393F1E" w:rsidP="00393F1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BILAG II</w:t>
      </w:r>
    </w:p>
    <w:p w14:paraId="4A662760" w14:textId="77777777" w:rsidR="00393F1E" w:rsidRPr="00037E7B" w:rsidRDefault="00393F1E" w:rsidP="00393F1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"BILAG II</w:t>
      </w:r>
    </w:p>
    <w:p w14:paraId="4C01682A" w14:textId="77777777" w:rsidR="00393F1E" w:rsidRPr="00037E7B" w:rsidRDefault="00393F1E" w:rsidP="00393F1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INSTRUKSER TIL INDBERETNING AF KAPITALGRUNDLAG OG KAPITALGRUNDLAGSKRAV</w:t>
      </w:r>
    </w:p>
    <w:p w14:paraId="6B9B322A" w14:textId="77777777" w:rsidR="00E26A90" w:rsidRDefault="00E26A90"/>
    <w:p w14:paraId="0A62D0FD" w14:textId="77777777" w:rsidR="00626DD7" w:rsidRDefault="00626DD7" w:rsidP="00626DD7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DEL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INSTRUKSER VEDRØRENDE SKEMAER</w:t>
      </w:r>
    </w:p>
    <w:p w14:paraId="0BF83CF9" w14:textId="77777777" w:rsidR="00626DD7" w:rsidRDefault="00626DD7" w:rsidP="00626DD7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4D47E5BD" w14:textId="77777777" w:rsidR="00626DD7" w:rsidRPr="00736637" w:rsidRDefault="00626DD7" w:rsidP="00626DD7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(...)</w:t>
      </w:r>
    </w:p>
    <w:p w14:paraId="19E744EA" w14:textId="77777777" w:rsidR="00626DD7" w:rsidRDefault="00626DD7"/>
    <w:p w14:paraId="3B628AE5" w14:textId="6F51021A" w:rsidR="00FB3D09" w:rsidRPr="002A677E" w:rsidRDefault="00582B0D" w:rsidP="00FB3D09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3.3 Kreditrisiko, modpartsrisiko og leveringsrisiko (free deliveries):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Kapitalgrundlagskrav opgjort efter IRB-metoden</w:t>
      </w:r>
      <w:r>
        <w:rPr>
          <w:sz w:val="24"/>
          <w:rFonts w:ascii="Times New Roman" w:hAnsi="Times New Roman"/>
        </w:rPr>
        <w:t xml:space="preserve"> (CR IRB)</w:t>
      </w:r>
    </w:p>
    <w:p w14:paraId="4E7759A8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60188358"/>
      <w:bookmarkStart w:id="1" w:name="_Toc473560907"/>
      <w:bookmarkStart w:id="2" w:name="_Toc151714395"/>
      <w:r>
        <w:rPr>
          <w:sz w:val="24"/>
          <w:u w:val="none"/>
          <w:rFonts w:ascii="Times New Roman" w:hAnsi="Times New Roman"/>
        </w:rPr>
        <w:t xml:space="preserve">3.3.1.</w:t>
      </w:r>
      <w:r>
        <w:tab/>
      </w:r>
      <w:r>
        <w:rPr>
          <w:sz w:val="24"/>
          <w:rFonts w:ascii="Times New Roman" w:hAnsi="Times New Roman"/>
        </w:rPr>
        <w:t xml:space="preserve">Anvendelsesområdet for CR IRB-skemaet</w:t>
      </w:r>
      <w:bookmarkEnd w:id="0"/>
      <w:bookmarkEnd w:id="1"/>
      <w:bookmarkEnd w:id="2"/>
    </w:p>
    <w:p w14:paraId="53B757C0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72</w:t>
      </w:r>
      <w:r>
        <w:fldChar w:fldCharType="end"/>
      </w:r>
      <w:r>
        <w:t xml:space="preserve">.</w:t>
      </w:r>
      <w:r>
        <w:tab/>
      </w:r>
      <w:r>
        <w:t xml:space="preserve">Anvendelsesområdet for CR IRB-skemaet omfatter:</w:t>
      </w:r>
    </w:p>
    <w:p w14:paraId="3BAE32CC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i)</w:t>
      </w:r>
      <w:r>
        <w:tab/>
      </w:r>
      <w:r>
        <w:t xml:space="preserve">kreditrisiko i anlægsbeholdningen, herunder:</w:t>
      </w:r>
    </w:p>
    <w:p w14:paraId="24DF91FB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Modpartsrisiko i anlægsbeholdningen</w:t>
      </w:r>
    </w:p>
    <w:p w14:paraId="2FF003CE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Udvandingsrisiko for erhvervede fordringer</w:t>
      </w:r>
    </w:p>
    <w:p w14:paraId="25CEC377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ii)</w:t>
      </w:r>
      <w:r>
        <w:tab/>
      </w:r>
      <w:r>
        <w:t xml:space="preserve">modpartsrisiko i handelsbeholdningen</w:t>
      </w:r>
    </w:p>
    <w:p w14:paraId="082D669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iii)</w:t>
      </w:r>
      <w:r>
        <w:tab/>
      </w:r>
      <w:r>
        <w:t xml:space="preserve">leveringsrisiko (free deliveries), der opstår som følge af alle forretningsaktiviteter.</w:t>
      </w:r>
    </w:p>
    <w:p w14:paraId="50C5E887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73.</w:t>
      </w:r>
      <w:r>
        <w:tab/>
      </w:r>
      <w:r>
        <w:t xml:space="preserve">Anvendelsesområdet for skemaet vedrører de eksponeringer, for hvilke de risikovægtede eksponeringsværdier beregnes i henhold til tredje del, afsnit II, kapitel 3, artikel 151-157 i forordning (EU) nr. 575/2013 (IRB-metoden).</w:t>
      </w:r>
      <w:r>
        <w:t xml:space="preserve"> </w:t>
      </w:r>
    </w:p>
    <w:p w14:paraId="537660ED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74</w:t>
      </w:r>
      <w:r>
        <w:fldChar w:fldCharType="end"/>
      </w:r>
      <w:r>
        <w:t xml:space="preserve">.</w:t>
      </w:r>
      <w:r>
        <w:t xml:space="preserve"> </w:t>
      </w:r>
      <w:r>
        <w:t xml:space="preserve">CR IRB-skemaet omhandler ikke følgende data:</w:t>
      </w:r>
      <w:r>
        <w:t xml:space="preserve"> </w:t>
      </w:r>
    </w:p>
    <w:p w14:paraId="7F7154C9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i)</w:t>
      </w:r>
      <w:r>
        <w:tab/>
      </w:r>
      <w:r>
        <w:t xml:space="preserve">Aktieeksponeringer, der indberettes i CR EQU IRB-skemaet.</w:t>
      </w:r>
      <w:r>
        <w:t xml:space="preserve"> </w:t>
      </w:r>
    </w:p>
    <w:p w14:paraId="39CEAA6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ii)</w:t>
      </w:r>
      <w:r>
        <w:tab/>
      </w:r>
      <w:r>
        <w:t xml:space="preserve">Securitiseringspositioner, der indberettes i skemaerne CR SEC og/eller CR SEC Details.</w:t>
      </w:r>
    </w:p>
    <w:p w14:paraId="486C870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iii)</w:t>
      </w:r>
      <w:r>
        <w:tab/>
      </w:r>
      <w:r>
        <w:t xml:space="preserve"> </w:t>
      </w:r>
      <w:r>
        <w:t xml:space="preserve">"Andre aktiver, der ikke er gældsforpligtelser" som omhandlet i artikel 147, stk. 2, litra g), i forordning (EU) nr. 575/2013.</w:t>
      </w:r>
      <w:r>
        <w:t xml:space="preserve"> </w:t>
      </w:r>
      <w:r>
        <w:t xml:space="preserve">Risikovægten for denne eksponeringsklasse skal altid være angivet til 100 %, dog ikke for kassebeholdning og tilsvarende poster samt eksponeringer, der er en restværdi af leasede aktiver, jf. artikel 156 i forordning (EU) nr. 575/2013.</w:t>
      </w:r>
      <w:r>
        <w:t xml:space="preserve"> </w:t>
      </w:r>
      <w:r>
        <w:t xml:space="preserve">De risikovægtede eksponeringer for denne eksponeringsklasse indberettes direkte i CA-skemaet.</w:t>
      </w:r>
    </w:p>
    <w:p w14:paraId="06855F02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iv)</w:t>
      </w:r>
      <w:r>
        <w:tab/>
      </w:r>
      <w:r>
        <w:t xml:space="preserve">Kreditværdijusteringsrisiko, som indberettes i CVA Risiko-skemaet.</w:t>
      </w:r>
    </w:p>
    <w:p w14:paraId="459A7112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CR IRB-skemaet kræver ikke en geografisk opdeling af IRB-eksponeringer efter modpartens hjemsted.</w:t>
      </w:r>
      <w:r>
        <w:t xml:space="preserve"> </w:t>
      </w:r>
      <w:r>
        <w:t xml:space="preserve">Denne opdeling indberettes i CR GB-skemaet.</w:t>
      </w:r>
      <w:r>
        <w:t xml:space="preserve"> </w:t>
      </w:r>
    </w:p>
    <w:p w14:paraId="50F092DC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Punkt i) og iii) gælder ikke for skemaet CR IRB 7.</w:t>
      </w:r>
    </w:p>
    <w:p w14:paraId="383EDB2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75</w:t>
      </w:r>
      <w:r>
        <w:fldChar w:fldCharType="end"/>
      </w:r>
      <w:r>
        <w:t xml:space="preserve">.</w:t>
      </w:r>
      <w:r>
        <w:tab/>
      </w:r>
      <w:r>
        <w:t xml:space="preserve">For at præcisere, om instituttet bruger sine egne estimater over tab givet misligholdelse (LGD) og/eller kreditkonverteringsfaktorer, anføres følgende oplysning for hver indberettet eksponeringsklasse:</w:t>
      </w:r>
    </w:p>
    <w:p w14:paraId="5E6A9A8B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993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"NEJ" = hvis myndighedens estimater over tab givet misligholdelse og kreditkonverteringsfaktorer anvendes (grundlæggende IRB)</w:t>
      </w:r>
    </w:p>
    <w:p w14:paraId="3AB7C0DB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993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"JA" = hvis egne estimater over tab givet misligholdelse og/eller kreditkonverteringsfaktorer anvendes (udbygget IRB).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Dette omfatter alle detailporteføljer.</w:t>
      </w:r>
    </w:p>
    <w:p w14:paraId="366E5CCA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993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Hvis et institut anvender egne estimater over tab givet misligholdelse til at beregne</w:t>
      </w:r>
      <w:r>
        <w:rPr>
          <w:sz w:val="24"/>
          <w:rStyle w:val="InstructionsTabelleText"/>
          <w:rFonts w:ascii="Times New Roman" w:hAnsi="Times New Roman"/>
        </w:rPr>
        <w:t xml:space="preserve"> risikovægtede eksponeringer</w:t>
      </w:r>
      <w:r>
        <w:rPr>
          <w:sz w:val="24"/>
          <w:rFonts w:ascii="Times New Roman" w:hAnsi="Times New Roman"/>
        </w:rPr>
        <w:t xml:space="preserve"> for en del af sine IRB-eksponeringer og myndighedens estimater over tab givet misligholdelse til at beregne </w:t>
      </w:r>
      <w:r>
        <w:rPr>
          <w:sz w:val="24"/>
          <w:rStyle w:val="InstructionsTabelleText"/>
          <w:rFonts w:ascii="Times New Roman" w:hAnsi="Times New Roman"/>
        </w:rPr>
        <w:t xml:space="preserve">risikovægtede eksponeringer</w:t>
      </w:r>
      <w:r>
        <w:rPr>
          <w:sz w:val="24"/>
          <w:rFonts w:ascii="Times New Roman" w:hAnsi="Times New Roman"/>
        </w:rPr>
        <w:t xml:space="preserve"> for den anden del af sine IRB-eksponeringer, skal der indberettes et CR IRB Total for F-IRB-positioner og et CR IRB Total for A-IRB-positioner.</w:t>
      </w:r>
    </w:p>
    <w:p w14:paraId="42EA72F2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3" w:name="_Toc262568037"/>
      <w:bookmarkStart w:id="4" w:name="_Toc264038435"/>
      <w:bookmarkStart w:id="5" w:name="_Toc295829865"/>
      <w:bookmarkStart w:id="6" w:name="_Toc308155142"/>
      <w:bookmarkStart w:id="7" w:name="_Toc310415028"/>
      <w:bookmarkStart w:id="8" w:name="_Toc360188359"/>
      <w:bookmarkStart w:id="9" w:name="_Toc473560908"/>
      <w:bookmarkStart w:id="10" w:name="_Toc151714396"/>
      <w:r>
        <w:rPr>
          <w:sz w:val="24"/>
          <w:u w:val="none"/>
          <w:rFonts w:ascii="Times New Roman" w:hAnsi="Times New Roman"/>
        </w:rPr>
        <w:t xml:space="preserve">3.3.2.</w:t>
      </w:r>
      <w:r>
        <w:tab/>
      </w:r>
      <w:r>
        <w:rPr>
          <w:sz w:val="24"/>
          <w:rFonts w:ascii="Times New Roman" w:hAnsi="Times New Roman"/>
        </w:rPr>
        <w:t xml:space="preserve">Opdeling af CR IRB-skemaet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7488548" w14:textId="1E62BF0E" w:rsidR="00FB3D09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76</w:t>
      </w:r>
      <w:r>
        <w:fldChar w:fldCharType="end"/>
      </w:r>
      <w:r>
        <w:t xml:space="preserve">.</w:t>
      </w:r>
      <w:r>
        <w:tab/>
      </w:r>
      <w:r>
        <w:t xml:space="preserve">CR IRB består af syv skemaer.</w:t>
      </w:r>
      <w:r>
        <w:t xml:space="preserve"> </w:t>
      </w:r>
      <w:r>
        <w:t xml:space="preserve">CR IRB 1 giver en generel oversigt over IRB-eksponeringer og de forskellige metoder til at beregne de risikovægtede eksponeringer og en opdeling af de samlede eksponeringer efter eksponeringstype.</w:t>
      </w:r>
      <w:r>
        <w:t xml:space="preserve"> </w:t>
      </w:r>
      <w:r>
        <w:t xml:space="preserve">CR IRB 2 giver en opdeling af de samlede eksponeringer efter låntagerklasser eller puljer (eksponeringer, der er indberettet i række 0070 i CR IRB 1).</w:t>
      </w:r>
      <w:r>
        <w:t xml:space="preserve"> </w:t>
      </w:r>
      <w:r>
        <w:t xml:space="preserve">CR IRB 3 indeholder alle relevante parametre, der anvendes til beregning af kapitalkrav for kreditrisikoen i forbindelse med IRB-modeller.</w:t>
      </w:r>
      <w:r>
        <w:t xml:space="preserve"> </w:t>
      </w:r>
      <w:r>
        <w:t xml:space="preserve">CR IRB 4 indeholder en flowtabel over ændringer i risikovægtede eksponeringer opgjort efter IRB-metoden for kreditrisiko.</w:t>
      </w:r>
      <w:r>
        <w:t xml:space="preserve"> </w:t>
      </w:r>
      <w:r>
        <w:t xml:space="preserve">CR IRB 5 indeholder oplysninger om resultaterne af backtesting af PD'er for de indberettede modeller.</w:t>
      </w:r>
      <w:r>
        <w:t xml:space="preserve"> </w:t>
      </w:r>
      <w:r>
        <w:t xml:space="preserve">CR IRB 6 indeholder alle relevante parametre, der anvendes til beregning af kapitalkrav for kreditrisikoen i henhold til kategoriseringskriterierne for specialiseret långivning.</w:t>
      </w:r>
      <w:r>
        <w:t xml:space="preserve"> </w:t>
      </w:r>
      <w:r>
        <w:t xml:space="preserve">CR IRB 7 indeholder en oversigt over den procentdel af eksponeringsværdien, der er omfattet af SA- eller IRB-metoder, for hver relevant eksponeringsklasse.</w:t>
      </w:r>
      <w:r>
        <w:t xml:space="preserve"> </w:t>
      </w:r>
      <w:r>
        <w:t xml:space="preserve">Skema CR IRB 1, CR IRB 2, CR IRB 3 og CR IRB 5 skal indberettes separat for følgende eksponerings- og deleksponeringsklasser (en "memorandumpost" skal indberettes separat som en deleksponeringsklasse, men er ikke forbundet med skema C 02.00 og ikke en del af I alt-skemaet):</w:t>
      </w:r>
    </w:p>
    <w:p w14:paraId="23A3F056" w14:textId="64EA1880" w:rsidR="00FD1A9F" w:rsidRPr="00126E51" w:rsidRDefault="006B0F8A" w:rsidP="00126E51">
      <w:pPr>
        <w:autoSpaceDE w:val="0"/>
        <w:autoSpaceDN w:val="0"/>
        <w:adjustRightInd w:val="0"/>
        <w:spacing w:before="0" w:after="0"/>
        <w:ind w:left="708"/>
        <w:jc w:val="left"/>
        <w:rPr>
          <w:u w:val="single"/>
        </w:rPr>
      </w:pPr>
      <w:r>
        <w:rPr>
          <w:sz w:val="24"/>
          <w:u w:val="single"/>
          <w:rFonts w:ascii="Times New Roman" w:hAnsi="Times New Roman"/>
        </w:rPr>
        <w:t xml:space="preserve">A) IRB-metoder, når hverken egne estimater over tab givet misligholdelse (LGD) eller konverteringsfaktorer anvendes (grundlæggende IRB-metode)</w:t>
      </w:r>
    </w:p>
    <w:p w14:paraId="742DED0D" w14:textId="60DC622C" w:rsidR="00FB3D09" w:rsidRPr="00126E51" w:rsidRDefault="006B0F8A" w:rsidP="006B0F8A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A.1)</w:t>
      </w:r>
      <w:r>
        <w:rPr>
          <w:sz w:val="24"/>
          <w:rFonts w:ascii="Times New Roman" w:hAnsi="Times New Roman"/>
        </w:rPr>
        <w:t xml:space="preserve"> </w:t>
      </w:r>
      <w:r>
        <w:tab/>
      </w:r>
      <w:r>
        <w:rPr>
          <w:sz w:val="24"/>
          <w:rFonts w:ascii="Times New Roman" w:hAnsi="Times New Roman"/>
        </w:rPr>
        <w:t xml:space="preserve">I alt</w:t>
      </w:r>
    </w:p>
    <w:p w14:paraId="17E353AE" w14:textId="4D7B9170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A.2)</w:t>
      </w:r>
      <w:r>
        <w:tab/>
      </w:r>
      <w:r>
        <w:rPr>
          <w:sz w:val="24"/>
          <w:rFonts w:ascii="Times New Roman" w:hAnsi="Times New Roman"/>
        </w:rPr>
        <w:t xml:space="preserve">Centralregeringer og centralbanker</w:t>
      </w:r>
      <w:r>
        <w:rPr>
          <w:sz w:val="24"/>
          <w:rFonts w:ascii="Times New Roman" w:hAnsi="Times New Roman"/>
        </w:rPr>
        <w:t xml:space="preserve"> </w:t>
      </w:r>
    </w:p>
    <w:p w14:paraId="070E0717" w14:textId="77777777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a), i forordning (EU) nr. 575/2013)</w:t>
      </w:r>
    </w:p>
    <w:p w14:paraId="4032BEC5" w14:textId="47D8D1A7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A.3)</w:t>
      </w:r>
      <w:r>
        <w:tab/>
      </w:r>
      <w:r>
        <w:rPr>
          <w:sz w:val="24"/>
          <w:rFonts w:ascii="Times New Roman" w:hAnsi="Times New Roman"/>
        </w:rPr>
        <w:t xml:space="preserve">Regionale eller lokale myndigheder</w:t>
      </w:r>
      <w:r>
        <w:rPr>
          <w:sz w:val="24"/>
          <w:rFonts w:ascii="Times New Roman" w:hAnsi="Times New Roman"/>
        </w:rPr>
        <w:t xml:space="preserve"> </w:t>
      </w:r>
    </w:p>
    <w:p w14:paraId="75CD54FE" w14:textId="4B4A74E8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aa), nr. i), i forordning (EU) nr. 575/2013)</w:t>
      </w:r>
    </w:p>
    <w:p w14:paraId="614294C6" w14:textId="682C38BE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A.4)</w:t>
      </w:r>
      <w:r>
        <w:tab/>
      </w:r>
      <w:r>
        <w:rPr>
          <w:sz w:val="24"/>
          <w:rFonts w:ascii="Times New Roman" w:hAnsi="Times New Roman"/>
        </w:rPr>
        <w:t xml:space="preserve">Offentlige enheder</w:t>
      </w:r>
      <w:r>
        <w:rPr>
          <w:sz w:val="24"/>
          <w:rFonts w:ascii="Times New Roman" w:hAnsi="Times New Roman"/>
        </w:rPr>
        <w:t xml:space="preserve">  </w:t>
      </w:r>
    </w:p>
    <w:p w14:paraId="52525D8D" w14:textId="056FDE6F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aa), nr. ii), i forordning (EU) nr. 575/2013)</w:t>
      </w:r>
    </w:p>
    <w:p w14:paraId="3CDBBA19" w14:textId="3B656C48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A.5)</w:t>
      </w:r>
      <w:r>
        <w:tab/>
      </w:r>
      <w:r>
        <w:rPr>
          <w:sz w:val="24"/>
          <w:rFonts w:ascii="Times New Roman" w:hAnsi="Times New Roman"/>
        </w:rPr>
        <w:t xml:space="preserve">Institutter</w:t>
      </w:r>
    </w:p>
    <w:p w14:paraId="5A2EE4F2" w14:textId="3CF7CB17" w:rsidR="00FB3D09" w:rsidRDefault="00FB3D09" w:rsidP="00E13BD0">
      <w:pPr>
        <w:autoSpaceDE w:val="0"/>
        <w:autoSpaceDN w:val="0"/>
        <w:adjustRightInd w:val="0"/>
        <w:spacing w:before="0" w:after="0"/>
        <w:ind w:left="1416" w:firstLine="12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 147, stk. 2, litra b), i forordning (EU) nr. 575/2013)</w:t>
      </w:r>
    </w:p>
    <w:p w14:paraId="5411EBAF" w14:textId="1E5C1A05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A.6.1)</w:t>
      </w:r>
      <w:r>
        <w:tab/>
      </w:r>
      <w:r>
        <w:rPr>
          <w:sz w:val="24"/>
          <w:rFonts w:ascii="Times New Roman" w:hAnsi="Times New Roman"/>
        </w:rPr>
        <w:t xml:space="preserve">Selskaber — specialiseret långivning</w:t>
      </w:r>
    </w:p>
    <w:p w14:paraId="4E8B7543" w14:textId="4E5EF733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 147, stk. 2, litra c), nr. ii), i forordning (EU) nr. 575/2013)</w:t>
      </w:r>
    </w:p>
    <w:p w14:paraId="571E5944" w14:textId="28012B61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A.6.2) Selskaber — erhvervede fordringer</w:t>
      </w:r>
    </w:p>
    <w:p w14:paraId="1A7D2649" w14:textId="4FE9E262" w:rsidR="00E13BD0" w:rsidRDefault="00FB3D09" w:rsidP="00EF2302">
      <w:pPr>
        <w:autoSpaceDE w:val="0"/>
        <w:autoSpaceDN w:val="0"/>
        <w:adjustRightInd w:val="0"/>
        <w:spacing w:before="0" w:after="0"/>
        <w:ind w:left="720" w:firstLine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 147, stk. 2, litra c), nr. iii), i forordning (EU) nr. 575/2013)</w:t>
      </w:r>
    </w:p>
    <w:p w14:paraId="77FF0C8B" w14:textId="0F260419" w:rsidR="00FB3D09" w:rsidRPr="002A677E" w:rsidRDefault="006B0F8A" w:rsidP="00E13BD0">
      <w:pPr>
        <w:autoSpaceDE w:val="0"/>
        <w:autoSpaceDN w:val="0"/>
        <w:adjustRightInd w:val="0"/>
        <w:spacing w:before="0" w:after="0"/>
        <w:ind w:left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A.6.3)</w:t>
      </w:r>
      <w:r>
        <w:tab/>
      </w:r>
      <w:r>
        <w:rPr>
          <w:sz w:val="24"/>
          <w:rFonts w:ascii="Times New Roman" w:hAnsi="Times New Roman"/>
        </w:rPr>
        <w:t xml:space="preserve">Selskaber — andre</w:t>
      </w:r>
      <w:r>
        <w:rPr>
          <w:sz w:val="24"/>
          <w:rFonts w:ascii="Times New Roman" w:hAnsi="Times New Roman"/>
        </w:rPr>
        <w:t xml:space="preserve"> </w:t>
      </w:r>
    </w:p>
    <w:p w14:paraId="0E912CCE" w14:textId="24911A15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 147, stk. 2, litra c), nr. i), i forordning (EU) nr. 575/2013).</w:t>
      </w:r>
    </w:p>
    <w:p w14:paraId="486BF9E6" w14:textId="1FC1D76C" w:rsidR="0029349B" w:rsidRPr="00874942" w:rsidRDefault="0029349B" w:rsidP="0029349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A.6.4) Memorandumpost: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Selskaber — stort selskab</w:t>
      </w:r>
    </w:p>
    <w:p w14:paraId="715EBD40" w14:textId="150CC2BB" w:rsidR="0029349B" w:rsidRDefault="0029349B" w:rsidP="0029349B">
      <w:pPr>
        <w:pStyle w:val="ListParagraph"/>
        <w:autoSpaceDE w:val="0"/>
        <w:autoSpaceDN w:val="0"/>
        <w:adjustRightInd w:val="0"/>
        <w:spacing w:before="0" w:after="0"/>
        <w:ind w:left="14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c), i forordning (EU) nr. 575/2013, sammenholdt med artikel 142, stk. 1, nr. 5a) i forordning (EU) nr. 575/2013)</w:t>
      </w:r>
    </w:p>
    <w:p w14:paraId="5A8F3224" w14:textId="4866743F" w:rsidR="0029349B" w:rsidRPr="00874942" w:rsidRDefault="0029349B" w:rsidP="0029349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A.6.5) Memorandumpost: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Selskaber — SMV'er</w:t>
      </w:r>
    </w:p>
    <w:p w14:paraId="42836C84" w14:textId="124ED090" w:rsidR="0029349B" w:rsidRPr="00EF2302" w:rsidRDefault="0029349B" w:rsidP="00126E51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c), i forordning (EU) nr. 575/2013, sammenholdt artikel 5, stk. 8, i forordning (EU) nr. 575/2013)</w:t>
      </w:r>
    </w:p>
    <w:p w14:paraId="23564959" w14:textId="77777777" w:rsidR="00B949C3" w:rsidRDefault="00B949C3" w:rsidP="00FB3D09">
      <w:pPr>
        <w:autoSpaceDE w:val="0"/>
        <w:autoSpaceDN w:val="0"/>
        <w:adjustRightInd w:val="0"/>
        <w:spacing w:before="0" w:after="0"/>
        <w:ind w:left="1428"/>
        <w:jc w:val="left"/>
        <w:rPr>
          <w:rFonts w:ascii="Times New Roman" w:hAnsi="Times New Roman"/>
          <w:sz w:val="24"/>
          <w:lang w:eastAsia="de-DE"/>
        </w:rPr>
      </w:pPr>
    </w:p>
    <w:p w14:paraId="52CFD6D7" w14:textId="11403070" w:rsidR="00B949C3" w:rsidRPr="00126E51" w:rsidRDefault="006013AC" w:rsidP="00126E51">
      <w:pPr>
        <w:autoSpaceDE w:val="0"/>
        <w:autoSpaceDN w:val="0"/>
        <w:adjustRightInd w:val="0"/>
        <w:spacing w:before="0" w:after="0"/>
        <w:ind w:firstLine="708"/>
        <w:jc w:val="left"/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B) IRB-metoder, når egne estimater over tab givet misligholdelse (LGD) og/eller konverteringsfaktorer anvendes</w:t>
      </w:r>
    </w:p>
    <w:p w14:paraId="31E1DC0E" w14:textId="5BBBD0A6" w:rsidR="006013AC" w:rsidRPr="00CF47EA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B.1)</w:t>
      </w:r>
      <w:r>
        <w:rPr>
          <w:sz w:val="24"/>
          <w:rFonts w:ascii="Times New Roman" w:hAnsi="Times New Roman"/>
        </w:rPr>
        <w:t xml:space="preserve"> </w:t>
      </w:r>
      <w:r>
        <w:tab/>
      </w:r>
      <w:r>
        <w:rPr>
          <w:sz w:val="24"/>
          <w:rFonts w:ascii="Times New Roman" w:hAnsi="Times New Roman"/>
        </w:rPr>
        <w:t xml:space="preserve">I alt</w:t>
      </w:r>
    </w:p>
    <w:p w14:paraId="2607EE3C" w14:textId="4BBA570A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B.2)</w:t>
      </w:r>
      <w:r>
        <w:tab/>
      </w:r>
      <w:r>
        <w:rPr>
          <w:sz w:val="24"/>
          <w:rFonts w:ascii="Times New Roman" w:hAnsi="Times New Roman"/>
        </w:rPr>
        <w:t xml:space="preserve">Centralregeringer og centralbanker</w:t>
      </w:r>
      <w:r>
        <w:rPr>
          <w:sz w:val="24"/>
          <w:rFonts w:ascii="Times New Roman" w:hAnsi="Times New Roman"/>
        </w:rPr>
        <w:t xml:space="preserve"> </w:t>
      </w:r>
    </w:p>
    <w:p w14:paraId="194B4B2A" w14:textId="77777777" w:rsidR="006013AC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a), i forordning (EU) nr. 575/2013)</w:t>
      </w:r>
    </w:p>
    <w:p w14:paraId="788F5C27" w14:textId="060EA0B3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B.3)</w:t>
      </w:r>
      <w:r>
        <w:tab/>
      </w:r>
      <w:r>
        <w:rPr>
          <w:sz w:val="24"/>
          <w:rFonts w:ascii="Times New Roman" w:hAnsi="Times New Roman"/>
        </w:rPr>
        <w:t xml:space="preserve">Regionale eller lokale myndigheder</w:t>
      </w:r>
      <w:r>
        <w:rPr>
          <w:sz w:val="24"/>
          <w:rFonts w:ascii="Times New Roman" w:hAnsi="Times New Roman"/>
        </w:rPr>
        <w:t xml:space="preserve"> </w:t>
      </w:r>
    </w:p>
    <w:p w14:paraId="2ECF3277" w14:textId="77777777" w:rsidR="006013AC" w:rsidRPr="002A677E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aa), nr. i), i forordning (EU) nr. 575/2013)</w:t>
      </w:r>
    </w:p>
    <w:p w14:paraId="5DCFC117" w14:textId="01557B68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B.4)</w:t>
      </w:r>
      <w:r>
        <w:tab/>
      </w:r>
      <w:r>
        <w:rPr>
          <w:sz w:val="24"/>
          <w:rFonts w:ascii="Times New Roman" w:hAnsi="Times New Roman"/>
        </w:rPr>
        <w:t xml:space="preserve">Offentlige enheder</w:t>
      </w:r>
      <w:r>
        <w:rPr>
          <w:sz w:val="24"/>
          <w:rFonts w:ascii="Times New Roman" w:hAnsi="Times New Roman"/>
        </w:rPr>
        <w:t xml:space="preserve">  </w:t>
      </w:r>
    </w:p>
    <w:p w14:paraId="062F8299" w14:textId="77777777" w:rsidR="006013AC" w:rsidRPr="002A677E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aa), nr. ii), i forordning (EU) nr. 575/2013)</w:t>
      </w:r>
    </w:p>
    <w:p w14:paraId="698D8E50" w14:textId="3BD81666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B.5.1)</w:t>
      </w:r>
      <w:r>
        <w:tab/>
      </w:r>
      <w:r>
        <w:rPr>
          <w:sz w:val="24"/>
          <w:rFonts w:ascii="Times New Roman" w:hAnsi="Times New Roman"/>
        </w:rPr>
        <w:t xml:space="preserve">Selskaber — specialiseret långivning</w:t>
      </w:r>
    </w:p>
    <w:p w14:paraId="7699809B" w14:textId="4B162F04" w:rsidR="006013AC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 147, stk. 2, litra c), nr. ii), i forordning (EU) nr. 575/2013)</w:t>
      </w:r>
    </w:p>
    <w:p w14:paraId="79E7A993" w14:textId="0A3A70E1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B.5.2) Selskaber — erhvervede fordringer</w:t>
      </w:r>
    </w:p>
    <w:p w14:paraId="47616290" w14:textId="5372C532" w:rsidR="006013AC" w:rsidRDefault="006013AC" w:rsidP="006013AC">
      <w:pPr>
        <w:autoSpaceDE w:val="0"/>
        <w:autoSpaceDN w:val="0"/>
        <w:adjustRightInd w:val="0"/>
        <w:spacing w:before="0" w:after="0"/>
        <w:ind w:left="720" w:firstLine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 147, stk. 2, litra c), nr. iii), i forordning (EU) nr. 575/2013)</w:t>
      </w:r>
    </w:p>
    <w:p w14:paraId="7E0F1962" w14:textId="1EC228E7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B.5.3)</w:t>
      </w:r>
      <w:r>
        <w:tab/>
      </w:r>
      <w:r>
        <w:rPr>
          <w:sz w:val="24"/>
          <w:rFonts w:ascii="Times New Roman" w:hAnsi="Times New Roman"/>
        </w:rPr>
        <w:t xml:space="preserve">Selskaber — andre</w:t>
      </w:r>
      <w:r>
        <w:rPr>
          <w:sz w:val="24"/>
          <w:rFonts w:ascii="Times New Roman" w:hAnsi="Times New Roman"/>
        </w:rPr>
        <w:t xml:space="preserve"> </w:t>
      </w:r>
    </w:p>
    <w:p w14:paraId="7C24044A" w14:textId="31456617" w:rsidR="00CD1BFF" w:rsidRDefault="006013AC" w:rsidP="009D125A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 147, stk. 2, litra c), nr. i), i forordning (EU) nr. 575/2013)</w:t>
      </w:r>
    </w:p>
    <w:p w14:paraId="0D9A4B56" w14:textId="3B70C431" w:rsidR="008A3C6B" w:rsidRPr="00CF47EA" w:rsidRDefault="008A3C6B" w:rsidP="008A3C6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B.5.4) Memorandumpost: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Selskaber — stort selskab</w:t>
      </w:r>
    </w:p>
    <w:p w14:paraId="7348E5D3" w14:textId="77777777" w:rsidR="008A3C6B" w:rsidRDefault="008A3C6B" w:rsidP="008A3C6B">
      <w:pPr>
        <w:pStyle w:val="ListParagraph"/>
        <w:autoSpaceDE w:val="0"/>
        <w:autoSpaceDN w:val="0"/>
        <w:adjustRightInd w:val="0"/>
        <w:spacing w:before="0" w:after="0"/>
        <w:ind w:left="14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c), i forordning (EU) nr. 575/2013, sammenholdt med artikel 142, stk. 1, nr. 5a) i forordning (EU) nr. 575/2013)</w:t>
      </w:r>
    </w:p>
    <w:p w14:paraId="4EA5C9B6" w14:textId="568BE150" w:rsidR="008A3C6B" w:rsidRPr="00CF47EA" w:rsidRDefault="008A3C6B" w:rsidP="008A3C6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B.5.6) Memorandumpost: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Selskaber — SMV'er</w:t>
      </w:r>
    </w:p>
    <w:p w14:paraId="327F10F1" w14:textId="086997C1" w:rsidR="008A3C6B" w:rsidRDefault="008A3C6B" w:rsidP="008A3C6B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(Artikel 147, stk. 2, litra c), i forordning (EU) nr. 575/2013, sammenholdt artikel 5, stk. 8, i forordning (EU) nr. 575/2013)</w:t>
      </w:r>
    </w:p>
    <w:p w14:paraId="72709B7F" w14:textId="0A3CA0B0" w:rsidR="00FB3D09" w:rsidRPr="002A677E" w:rsidRDefault="009D125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B.6.1)</w:t>
      </w:r>
      <w:r>
        <w:tab/>
      </w:r>
      <w:r>
        <w:rPr>
          <w:sz w:val="24"/>
          <w:rFonts w:ascii="Times New Roman" w:hAnsi="Times New Roman"/>
        </w:rPr>
        <w:t xml:space="preserve">Detail – Sikret ved beboelsesejendom</w:t>
      </w:r>
      <w:r>
        <w:rPr>
          <w:sz w:val="24"/>
          <w:rFonts w:ascii="Times New Roman" w:hAnsi="Times New Roman"/>
        </w:rPr>
        <w:t xml:space="preserve"> </w:t>
      </w:r>
    </w:p>
    <w:p w14:paraId="650A4DF9" w14:textId="69386974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(Detaileksponeringer som omhandlet i artikel 147, stk. 2, litra d), nr. ii), i forordning (EU) nr. 575/2013)</w:t>
      </w:r>
    </w:p>
    <w:p w14:paraId="2ECC4965" w14:textId="776EA69B" w:rsidR="00A54B9F" w:rsidRDefault="000C3D68" w:rsidP="00E13BD0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Under denne kategori.</w:t>
      </w:r>
    </w:p>
    <w:p w14:paraId="4F591501" w14:textId="3C2A575C" w:rsidR="00FB3D09" w:rsidRPr="002A677E" w:rsidRDefault="009D125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B.6.2)</w:t>
      </w:r>
      <w:r>
        <w:tab/>
      </w:r>
      <w:r>
        <w:rPr>
          <w:sz w:val="24"/>
          <w:rFonts w:ascii="Times New Roman" w:hAnsi="Times New Roman"/>
        </w:rPr>
        <w:t xml:space="preserve">Detail — Kvalificeret revolverende</w:t>
      </w:r>
    </w:p>
    <w:p w14:paraId="2787B7FB" w14:textId="77777777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(Detaileksponeringer, jf. artikel 147, stk. 2, litra d), nr. i), i forordning (EU) nr. 575/2013, sammenholdt med artikel 154, stk. 4, i nævnte forordning).</w:t>
      </w:r>
      <w:r>
        <w:rPr>
          <w:sz w:val="24"/>
          <w:rFonts w:ascii="Times New Roman" w:hAnsi="Times New Roman"/>
        </w:rPr>
        <w:t xml:space="preserve"> </w:t>
      </w:r>
    </w:p>
    <w:p w14:paraId="1CA9F240" w14:textId="4E5B99F0" w:rsidR="00FB3D09" w:rsidRPr="002A677E" w:rsidRDefault="00DB50A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B6.3)</w:t>
      </w:r>
      <w:r>
        <w:tab/>
      </w:r>
      <w:r>
        <w:rPr>
          <w:sz w:val="24"/>
          <w:rFonts w:ascii="Times New Roman" w:hAnsi="Times New Roman"/>
        </w:rPr>
        <w:t xml:space="preserve">Detail – Erhvervede fordringer</w:t>
      </w:r>
    </w:p>
    <w:p w14:paraId="3EBF4177" w14:textId="77777777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(Detaileksponeringer som omhandlet i artikel 147, stk. 2, litra d), nr. iii), i forordning (EU) nr. 575/2013).</w:t>
      </w:r>
      <w:r>
        <w:rPr>
          <w:sz w:val="24"/>
          <w:rFonts w:ascii="Times New Roman" w:hAnsi="Times New Roman"/>
        </w:rPr>
        <w:t xml:space="preserve"> </w:t>
      </w:r>
    </w:p>
    <w:p w14:paraId="776A9653" w14:textId="274FCDDB" w:rsidR="00FB3D09" w:rsidRPr="002A677E" w:rsidRDefault="00DB50A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B.6.4)</w:t>
      </w:r>
      <w:r>
        <w:tab/>
      </w:r>
      <w:r>
        <w:rPr>
          <w:sz w:val="24"/>
          <w:rFonts w:ascii="Times New Roman" w:hAnsi="Times New Roman"/>
        </w:rPr>
        <w:t xml:space="preserve">Detail – Andet</w:t>
      </w:r>
      <w:r>
        <w:rPr>
          <w:sz w:val="24"/>
          <w:rFonts w:ascii="Times New Roman" w:hAnsi="Times New Roman"/>
        </w:rPr>
        <w:t xml:space="preserve"> </w:t>
      </w:r>
    </w:p>
    <w:p w14:paraId="1CBC5EF4" w14:textId="450212A6" w:rsidR="00F61AEB" w:rsidRDefault="00FB3D09" w:rsidP="00A54B9F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(Detaileksponeringer som omhandlet i artikel 147, stk. 2, litra d), nr. iv), i forordning (EU) nr. 575/2013).</w:t>
      </w:r>
    </w:p>
    <w:p w14:paraId="0C697B9E" w14:textId="3DDAB287" w:rsidR="00F61AEB" w:rsidRPr="00CF47EA" w:rsidRDefault="00F61AEB" w:rsidP="00F61AE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B.6.5) Memorandumpost: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Detail — Sikret ved pant i fast ejendom — SMV'er</w:t>
      </w:r>
    </w:p>
    <w:p w14:paraId="45B80CE1" w14:textId="6E9AC07A" w:rsidR="00F61AEB" w:rsidRDefault="00F61AEB" w:rsidP="00F61AEB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Detaileksponeringer som defineret i artikel 147, stk. 2, litra d), i forordning (EU) nr. 575/2013, indberettet under B.6.1 til B.6.4, som er sikret ved fast ejendom som defineret i artikel 4, stk. 1, nr. 75f), i forordning (EU) nr. 575/2013, sammenholdt med artikel 5, stk. 8, i forordning (EU) nr. 575/2013)</w:t>
      </w:r>
    </w:p>
    <w:p w14:paraId="40D2DB38" w14:textId="4857D4AC" w:rsidR="00F61AEB" w:rsidRPr="00CF47EA" w:rsidRDefault="00F61AEB" w:rsidP="00F61AE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B.6.6) Memorandumpost: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Detail — Sikret ved pant i fast ejendom — ikke-SMV'er</w:t>
      </w:r>
    </w:p>
    <w:p w14:paraId="7430D81F" w14:textId="3488EF28" w:rsidR="00F61AEB" w:rsidRDefault="00F61AEB" w:rsidP="00F61AEB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Detaileksponeringer som defineret i artikel 147, stk. 2, litra d), i forordning (EU) nr. 575/2013, indberettet under B.6.1 til B.6.4, som er sikret ved fast ejendom som defineret i artikel 4, stk. 1, nr. 75f), i forordning (EU) nr. 575/2013, ikke sammenholdt med artikel 5, stk. 8, i forordning (EU) nr. 575/2013)</w:t>
      </w:r>
    </w:p>
    <w:p w14:paraId="0EB53292" w14:textId="6168F897" w:rsidR="00F37042" w:rsidRPr="00CF47EA" w:rsidRDefault="00F37042" w:rsidP="00F37042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B.6.7) Memorandumpost: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Detail – Andre SMV'er</w:t>
      </w:r>
    </w:p>
    <w:p w14:paraId="5861C1A9" w14:textId="50C55B82" w:rsidR="00F37042" w:rsidRDefault="00F37042" w:rsidP="00F37042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(Detaileksponeringer, jf. artikel 147, stk. 2, litra d), nr. iv), i forordning (EU) nr. 575/2013, ikke indberettet under B.6.5 og B.6.6, sammenholdt med artikel 5, stk. 8, i forordning (EU) nr. 575/2013)</w:t>
      </w:r>
    </w:p>
    <w:p w14:paraId="394F5A32" w14:textId="4E70921A" w:rsidR="00F37042" w:rsidRPr="00CF47EA" w:rsidRDefault="00F37042" w:rsidP="00F37042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B.6.8) Memorandumpost: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Detail – Andre ikke-SMV'er</w:t>
      </w:r>
    </w:p>
    <w:p w14:paraId="75B56F15" w14:textId="6EAC1815" w:rsidR="00F37042" w:rsidRPr="00126E51" w:rsidRDefault="00F37042" w:rsidP="00F37042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(Detaileksponeringer, jf. artikel 147, stk. 2, litra d), nr. iv), i forordning (EU) nr. 575/2013, ikke indberettet under B.6.5 og B.6.6, ikke sammenholdt med artikel 5, stk. 8, i forordning (EU) nr. 575/2013)</w:t>
      </w:r>
    </w:p>
    <w:p w14:paraId="31C5A22B" w14:textId="61C91BE4" w:rsidR="00FB3D09" w:rsidRPr="002A677E" w:rsidRDefault="00DB50AA" w:rsidP="00E13BD0">
      <w:pPr>
        <w:pStyle w:val="ListParagraph1"/>
        <w:autoSpaceDE w:val="0"/>
        <w:autoSpaceDN w:val="0"/>
        <w:adjustRightInd w:val="0"/>
        <w:spacing w:before="0" w:after="0"/>
        <w:ind w:left="0" w:firstLine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B.7)</w:t>
      </w:r>
      <w:r>
        <w:tab/>
      </w:r>
      <w:r>
        <w:rPr>
          <w:sz w:val="24"/>
          <w:rFonts w:ascii="Times New Roman" w:hAnsi="Times New Roman"/>
        </w:rPr>
        <w:t xml:space="preserve">Kollektive investeringsinstitutter ("CIU")</w:t>
      </w:r>
    </w:p>
    <w:p w14:paraId="46A3FB56" w14:textId="38464F9F" w:rsidR="00FB3D09" w:rsidDel="00C72B5D" w:rsidRDefault="00FB3D09" w:rsidP="00126E51">
      <w:pPr>
        <w:autoSpaceDE w:val="0"/>
        <w:autoSpaceDN w:val="0"/>
        <w:adjustRightInd w:val="0"/>
        <w:spacing w:before="0" w:after="0"/>
        <w:ind w:left="1416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Eksponeringer i form af andele eller aktier i CIU'er som omhandlet i artikel 147, stk. 2, litra ea), i forordning (EU) nr. 575/2013</w:t>
      </w:r>
    </w:p>
    <w:p w14:paraId="1BEDE351" w14:textId="77777777" w:rsidR="00FB3D09" w:rsidRDefault="00FB3D09" w:rsidP="00FB3D09">
      <w:pPr>
        <w:spacing w:before="0" w:after="0"/>
        <w:ind w:left="709"/>
        <w:jc w:val="left"/>
        <w:rPr>
          <w:rFonts w:ascii="Times New Roman" w:hAnsi="Times New Roman"/>
          <w:sz w:val="24"/>
          <w:lang w:eastAsia="de-DE"/>
        </w:rPr>
      </w:pPr>
    </w:p>
    <w:p w14:paraId="677C9432" w14:textId="62D96D61" w:rsidR="00FB3D09" w:rsidRDefault="00FB3D09" w:rsidP="00FB3D09">
      <w:pPr>
        <w:spacing w:before="0" w:after="2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3.3.2a.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Præcisering af anvendelsesområdet for specifikke eksponeringsklasser omhandlet i artikel 147 i </w:t>
      </w:r>
      <w:r>
        <w:rPr>
          <w:sz w:val="24"/>
          <w:rFonts w:ascii="Times New Roman" w:hAnsi="Times New Roman"/>
        </w:rPr>
        <w:t xml:space="preserve">forordning (EU) nr. 575/2013</w:t>
      </w:r>
      <w:r>
        <w:rPr>
          <w:sz w:val="24"/>
          <w:rFonts w:ascii="Times New Roman" w:hAnsi="Times New Roman"/>
        </w:rPr>
        <w:t xml:space="preserve"> </w:t>
      </w:r>
    </w:p>
    <w:p w14:paraId="314E3D92" w14:textId="4C97F668" w:rsidR="00FB3D09" w:rsidRDefault="00FB3D09" w:rsidP="00FB3D09">
      <w:pPr>
        <w:spacing w:before="0" w:after="2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3.3.2a.1 Eksponeringsklassen "CIU'er"</w:t>
      </w:r>
    </w:p>
    <w:p w14:paraId="219CEA19" w14:textId="7C695821" w:rsidR="00FB3D09" w:rsidRDefault="00FB3D09" w:rsidP="00126E51">
      <w:pPr>
        <w:spacing w:before="0" w:after="24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76a.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Alle individuelle eksponeringer i form af andele eller aktier i CIU'er, hvor der anvendes transparensmetoden eller mandatmetoden (artikel 152, stk. 1 og 5, i forordning (EU) nr. 575/2013) og eksponeringer omfattet af fallbackmetoden, skal klassificeres i eksponeringsklassen eksponeringer i form af andele eller aktier (kapitalandele) i CIU'er og indberettes i afsnittet OPDELING AF SAMLEDE EKSPONERINGER EFTER METODE (CIU).</w:t>
      </w:r>
    </w:p>
    <w:p w14:paraId="1BCD95AE" w14:textId="76EFAF4A" w:rsidR="00FB3D09" w:rsidRDefault="00FC2C95" w:rsidP="00126E51">
      <w:pPr>
        <w:spacing w:before="0" w:after="24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76b.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Hvis transparensmetoden (artikel 152, stk. 1, i forordning (EU) nr. 575/2013) anvendes, skal den enkelte underliggende eksponering (i tillæg til førnævnte klassificering som "CIU") klassificeres i den tilsvarende eksponeringsklasse og indberettes som en memorandumpost i række 0190 i skema C 08.01 med henvisning til transparensmetoden (for nævnte eksponeringsklasse). I forbindelse med transparensmetoden er den underliggende eksponering altså ikke en del af de samlede eksponeringer for den tilsvarende eksponeringsklasse, men der tages højde for den i de samlede eksponeringer for CIU-eksponeringsklassen.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Hvis standardmetoden (SA) anvendes på nogle af de underliggende eksponeringer, bør disse eksponeringer indberettes i CR SA-skemaet (C 07.00) i eksponeringsklassen "CIU'er".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 dette skema skal der kun indberettes underliggende eksponeringer, for hvilke en intern ratingbaseret (IRB) metode blev anvendt til at beregne kapitalgrundlagskrav.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Dog indberettes følgende underliggende eksponeringer ikke i CR IRB-skemaet:</w:t>
      </w:r>
    </w:p>
    <w:p w14:paraId="38F3EA76" w14:textId="77777777" w:rsidR="00FB3D09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i)</w:t>
      </w:r>
      <w:r>
        <w:tab/>
      </w:r>
      <w:r>
        <w:t xml:space="preserve">Aktieeksponeringer, der indberettes i CR EQU IRB-skemaet.</w:t>
      </w:r>
      <w:r>
        <w:t xml:space="preserve"> </w:t>
      </w:r>
    </w:p>
    <w:p w14:paraId="007677D4" w14:textId="77777777" w:rsidR="00FB3D09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ii)</w:t>
      </w:r>
      <w:r>
        <w:tab/>
      </w:r>
      <w:r>
        <w:t xml:space="preserve">Securitiseringspositioner, der indberettes i skemaerne CR SEC og/eller CR SEC Details.</w:t>
      </w:r>
    </w:p>
    <w:p w14:paraId="3868B76C" w14:textId="77777777" w:rsidR="00FB3D09" w:rsidRPr="002A677E" w:rsidRDefault="00FB3D09" w:rsidP="00FB3D09">
      <w:pPr>
        <w:spacing w:before="0" w:after="240"/>
        <w:jc w:val="left"/>
        <w:rPr>
          <w:sz w:val="24"/>
          <w:rFonts w:ascii="Times New Roman" w:hAnsi="Times New Roman"/>
        </w:rPr>
      </w:pPr>
      <w:bookmarkStart w:id="11" w:name="_Toc473560909"/>
      <w:bookmarkStart w:id="12" w:name="_Toc239157380"/>
      <w:bookmarkStart w:id="13" w:name="_Toc262568038"/>
      <w:bookmarkStart w:id="14" w:name="_Toc264038436"/>
      <w:bookmarkStart w:id="15" w:name="_Toc295829866"/>
      <w:bookmarkStart w:id="16" w:name="_Toc308155143"/>
      <w:bookmarkStart w:id="17" w:name="_Toc310415030"/>
      <w:bookmarkStart w:id="18" w:name="_Toc360188360"/>
      <w:r>
        <w:rPr>
          <w:sz w:val="24"/>
          <w:rFonts w:ascii="Times New Roman" w:hAnsi="Times New Roman"/>
        </w:rPr>
        <w:t xml:space="preserve">3.3.3.</w:t>
      </w:r>
      <w:r>
        <w:tab/>
      </w:r>
      <w:r>
        <w:rPr>
          <w:sz w:val="24"/>
          <w:rFonts w:ascii="Times New Roman" w:hAnsi="Times New Roman"/>
        </w:rPr>
        <w:t xml:space="preserve">C 08.01 — Kreditrisiko, modpartsrisiko og leveringsrisiko (free deliveries):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Kapitalkrav opgjort efter IRB-metoden (CR IRB 1)</w:t>
      </w:r>
      <w:bookmarkEnd w:id="11"/>
    </w:p>
    <w:p w14:paraId="24516C06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ind w:left="709" w:hanging="720"/>
        <w:rPr>
          <w:sz w:val="24"/>
          <w:rFonts w:ascii="Times New Roman" w:hAnsi="Times New Roman" w:cs="Times New Roman"/>
        </w:rPr>
      </w:pPr>
      <w:bookmarkStart w:id="19" w:name="_Toc473560910"/>
      <w:bookmarkStart w:id="20" w:name="_Toc151714397"/>
      <w:r>
        <w:rPr>
          <w:sz w:val="24"/>
          <w:u w:val="none"/>
          <w:rFonts w:ascii="Times New Roman" w:hAnsi="Times New Roman"/>
        </w:rPr>
        <w:t xml:space="preserve">3.3.3.1</w:t>
      </w:r>
      <w:r>
        <w:tab/>
      </w:r>
      <w:r>
        <w:rPr>
          <w:sz w:val="24"/>
          <w:rFonts w:ascii="Times New Roman" w:hAnsi="Times New Roman"/>
        </w:rPr>
        <w:t xml:space="preserve">Instrukser vedrørende specifikke positioner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57EC16E2" w14:textId="77777777" w:rsidTr="00822842">
        <w:tc>
          <w:tcPr>
            <w:tcW w:w="1188" w:type="dxa"/>
            <w:shd w:val="clear" w:color="auto" w:fill="CCCCCC"/>
          </w:tcPr>
          <w:p w14:paraId="62A9E81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Kolonner</w:t>
            </w:r>
          </w:p>
        </w:tc>
        <w:tc>
          <w:tcPr>
            <w:tcW w:w="8843" w:type="dxa"/>
            <w:shd w:val="clear" w:color="auto" w:fill="CCCCCC"/>
          </w:tcPr>
          <w:p w14:paraId="2B397F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6D2D58B3" w14:textId="77777777" w:rsidTr="00822842">
        <w:tc>
          <w:tcPr>
            <w:tcW w:w="1188" w:type="dxa"/>
          </w:tcPr>
          <w:p w14:paraId="1736B9C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</w:tcPr>
          <w:p w14:paraId="298149A1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SKALA MED INTERNE RATINGS/PD TILDELT LÅNTAGERKLASSE ELLER PULJE (%)</w:t>
            </w:r>
          </w:p>
          <w:p w14:paraId="5FF26C8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Her indberettes den PD, der tildeles låntagerklassen eller -puljen; den skal baseres på bestemmelserne i artikel 180 i forordning (EU) nr. 575/2013.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For hver individuel klasse eller pulje skal den PD, der er tildelt den specifikke låntagerklasse eller -pulje, indberettes.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For tal, der svarer til en aggregering af låntagerklasser eller -puljer (f.eks. samlede eksponeringer), anføres det eksponeringsvægtede gennemsnit af de PD'er, der er tildelt låntagerklasserne eller -puljerne i aggregeringen.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Eksponeringsværdien (kolonne 0110) bruges til at beregne den eksponeringsvægtede gennemsnitlige PD.</w:t>
            </w:r>
          </w:p>
          <w:p w14:paraId="723A0BA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For hver individuel klasse eller pulje skal den PD, der er tildelt den specifikke låntagerklasse eller -pulje, indberettes.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Alle indberettede risikoparametre udledes af de risikoparametre, der anvendes i skalaen for interne ratings, som er godkendt af den relevante kompetente myndighed.</w:t>
            </w:r>
          </w:p>
          <w:p w14:paraId="37DDB74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Det er hverken hensigten eller ønskværdigt, at der etableres en masterskala for tilsyn.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Hvis det indberettende institut anvender en unik ratingskala eller kan indberette i henhold til en intern masterskala, anvendes denne skala.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4FCCB57F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Ellers kombineres de forskellige ratingskalaer og rangordnes efter følgende kriterier: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Låntagerklasserne i de forskellige ratingskalaer samles i en pulje og opstilles fra den laveste PD til den højeste tildelt hver låntagerklasse.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Hvis instituttet anvender mange klasser eller puljer, kan der indberettes et lavere antal klasser eller puljer efter aftale med de kompetente myndigheder.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Det samme gælder kontinuerlige ratingskalaer: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Der aftales et reduceret antal ratingklasser med henblik på indberetning med de kompetente myndigheder.</w:t>
            </w:r>
          </w:p>
          <w:p w14:paraId="7B5BA46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Institutterne skal på forhånd kontakte de kompetente myndigheder, hvis de ønsker at indberette et andet antal klasser end antallet af interne klasser.</w:t>
            </w:r>
          </w:p>
          <w:p w14:paraId="05BEC00A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Den eller de sidste ratingklasser skal anvendes til misligholdte eksponeringer med en PD på 100 %.</w:t>
            </w:r>
          </w:p>
          <w:p w14:paraId="21058E35" w14:textId="53D6092E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Med henblik på vægtning af den gennemsnitlige PD anvendes den eksponeringsværdi, der er indberettet i kolonne 110.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Den eksponeringsvægtede gennemsnitlige PD beregnes under hensyntagen til alle eksponeringer, der er indberettet i en given række.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 rækken forbeholdt indberetninger af misligholdte eksponeringer er den gennemsnitlige PD på 100 %.</w:t>
            </w:r>
          </w:p>
        </w:tc>
      </w:tr>
      <w:tr w:rsidR="00FB3D09" w:rsidRPr="002A677E" w14:paraId="45B04E8D" w14:textId="77777777" w:rsidTr="00822842">
        <w:tc>
          <w:tcPr>
            <w:tcW w:w="1188" w:type="dxa"/>
          </w:tcPr>
          <w:p w14:paraId="7FB0CCE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</w:tcPr>
          <w:p w14:paraId="3CB0A55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OPRINDELIG EKSPONERING FØR ANVENDELSE AF KONVERTERINGSFAKTORER</w:t>
            </w:r>
          </w:p>
          <w:p w14:paraId="5FC3A6B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indberetter eksponeringsværdien inden indregning af værdijusteringer, hensættelser, virkninger af kreditrisikoreduktionsteknikker eller kreditkonverteringsfaktorer.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FE079F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oprindelige eksponeringsværdi indberettes i henhold til artikel 24 i forordning (EU) nr. 575/2013 og artikel 166, stk. 1, 2, 4, 5, 6 og 7, i nævnte forordning.</w:t>
            </w:r>
          </w:p>
          <w:p w14:paraId="11B4331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Virkningen, der følger af forordningens artikel 166, stk. 3, i forordning (EU) nr. 575/2013 (virkningen af balanceført netting af udlån og indskud), indberettes særskilt som finansieret kreditrisikoafdækning og reducerer derfor ikke den oprindelige eksponering.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918563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derivater, genkøbstransaktioner, udlån og indskud af værdipapirer eller råvarer, terminsforretninger og margenudlånstransaktioner, der er underlagt modpartsrisiko (tredje del, afsnit II, kapitel 4 eller 6, i forordning (EU) nr. 575/2013) skal den oprindelige eksponering svare til eksponeringsværdien for modpartsrisiko (se instrukserne til kolonne 0130).</w:t>
            </w:r>
          </w:p>
        </w:tc>
      </w:tr>
      <w:tr w:rsidR="00FB3D09" w:rsidRPr="002A677E" w14:paraId="4820425A" w14:textId="77777777" w:rsidTr="00822842">
        <w:tc>
          <w:tcPr>
            <w:tcW w:w="1188" w:type="dxa"/>
          </w:tcPr>
          <w:p w14:paraId="17C2578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</w:tcPr>
          <w:p w14:paraId="15A3D95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HERAF: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STORE ENHEDER I DEN FINANSIELLE SEKTOR OG UREGULEREDE FINANSIELLE ENHEDER</w:t>
            </w:r>
          </w:p>
          <w:p w14:paraId="49D6950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Opdeling af den oprindelige eksponering før anvendelse af konverteringsfaktorer for alle eksponeringer mod enheder omhandlet i artikel 142, stk. 1, nr. 4) og 5), i forordning (EU) nr. 575/2013, der er omfattet af den højeste korrelationskoefficient fastsat i overensstemmelse med artikel 153, stk. 2, i nævnte forordning.</w:t>
            </w:r>
          </w:p>
        </w:tc>
      </w:tr>
      <w:tr w:rsidR="00FB3D09" w:rsidRPr="002A677E" w14:paraId="216A721A" w14:textId="77777777" w:rsidTr="00822842">
        <w:tc>
          <w:tcPr>
            <w:tcW w:w="1188" w:type="dxa"/>
          </w:tcPr>
          <w:p w14:paraId="189E467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0040-0080</w:t>
            </w:r>
          </w:p>
        </w:tc>
        <w:tc>
          <w:tcPr>
            <w:tcW w:w="8843" w:type="dxa"/>
          </w:tcPr>
          <w:p w14:paraId="0B033AC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KREDITRISIKOREDUKTIONSTEKNIKKER MED SUBSTITUTIONSVIRKNINGER PÅ EKSPONERINGEN</w:t>
            </w:r>
          </w:p>
          <w:p w14:paraId="15F2801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Kreditrisikoreduktion som defineret i artikel 4, stk. 1, nr. 57), i forordning (EU) nr. 575/2013, som mindsker kreditrisikoen ved en eller flere eksponeringer via substitution af eksponeringer som defineret nedenfor under "SUBSTITUTION AF EKSPONERING SOM FØLGE AF KREDITRISIKOREDUKTIONSTEKNIKKER".</w:t>
            </w:r>
          </w:p>
          <w:p w14:paraId="1328DB1C" w14:textId="77777777" w:rsidR="00FB3D09" w:rsidRPr="002A677E" w:rsidRDefault="00FB3D09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FB3D09" w:rsidRPr="002A677E" w14:paraId="4BD2F7DD" w14:textId="77777777" w:rsidTr="00822842">
        <w:tc>
          <w:tcPr>
            <w:tcW w:w="1188" w:type="dxa"/>
          </w:tcPr>
          <w:p w14:paraId="0BA81A6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0040-0050</w:t>
            </w:r>
          </w:p>
        </w:tc>
        <w:tc>
          <w:tcPr>
            <w:tcW w:w="8843" w:type="dxa"/>
          </w:tcPr>
          <w:p w14:paraId="4B08A0E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UFINANSIERET KREDITRISIKOAFDÆKNING</w:t>
            </w:r>
          </w:p>
          <w:p w14:paraId="25128BF3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Ufinansieret kreditrisikoafdækning som defineret i artikel 4, stk. 1, nr. 59), i forordning (EU) nr. 575/2013.</w:t>
            </w:r>
          </w:p>
          <w:p w14:paraId="538FB9A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Ufinansieret kreditrisikoafdækning, som påvirker eksponeringen (f.eks. hvis den anvendes til kreditrisikoreduktionsteknikker med substitutionsvirkninger på eksponeringen), må ikke overstige eksponeringsværdien.</w:t>
            </w:r>
          </w:p>
        </w:tc>
      </w:tr>
      <w:tr w:rsidR="00FB3D09" w:rsidRPr="002A677E" w14:paraId="4279348F" w14:textId="77777777" w:rsidTr="00822842">
        <w:tc>
          <w:tcPr>
            <w:tcW w:w="1188" w:type="dxa"/>
          </w:tcPr>
          <w:p w14:paraId="777BC73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</w:tcPr>
          <w:p w14:paraId="629601A3" w14:textId="77777777" w:rsidR="00FB3D09" w:rsidRPr="002A677E" w:rsidRDefault="00FB3D09" w:rsidP="00822842">
            <w:pPr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GARANTIER</w:t>
            </w:r>
          </w:p>
          <w:p w14:paraId="2FC9ABD9" w14:textId="7C572507" w:rsidR="00FB3D09" w:rsidRPr="00E01F19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Hvis de risikovægtede eksponeringer beregnes efter substitutionsmetoden i overensstemmelse med kapitel 4 i forordning (EU) nr. 575/2013 (artikel 108, stk. 1, artikel 183, stk. 1a, første punktum, anden valgmulighed, artikel 235a, artikel 236 og artikel 236a, skal den justerede værdi (G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A</w:t>
            </w:r>
            <w:r>
              <w:rPr>
                <w:sz w:val="24"/>
                <w:rFonts w:ascii="Times New Roman" w:hAnsi="Times New Roman"/>
              </w:rPr>
              <w:t xml:space="preserve">) som defineret i artikel 235a, stk. 1, i forordning (EU) nr. 575/2013 angives.</w:t>
            </w:r>
          </w:p>
          <w:p w14:paraId="66D2714E" w14:textId="77777777" w:rsidR="00FB3D09" w:rsidRPr="00E01F19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anvendes i overensstemmelse med artikel 183 i forordning (EU) nr. 575/2013 (undtagen stk. 3), indberettes den relevante værdi, der anvendes i den interne model.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F837DAE" w14:textId="6FB660DD" w:rsidR="00FB3D09" w:rsidRPr="002A677E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der anvendes PD/LGD-modelleringsjusteringsmetoden i overensstemmelse med artikel 108, stk. 1, og artikel 183, stk. 1a, og justeringen foretages i LGD, skal garantibeløbet indberettes i kolonne 0150.</w:t>
            </w:r>
          </w:p>
        </w:tc>
      </w:tr>
      <w:tr w:rsidR="00FB3D09" w:rsidRPr="002A677E" w14:paraId="10449AF9" w14:textId="77777777" w:rsidTr="00822842">
        <w:tc>
          <w:tcPr>
            <w:tcW w:w="1188" w:type="dxa"/>
          </w:tcPr>
          <w:p w14:paraId="3EE21C3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</w:tcPr>
          <w:p w14:paraId="0360D0F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KREDITDERIVATER</w:t>
            </w:r>
          </w:p>
          <w:p w14:paraId="244ABC5F" w14:textId="381DD996" w:rsidR="00FB3D09" w:rsidRPr="002A677E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de risikovægtede eksponeringer beregnes efter substitutionsmetoden (artikel 108, stk. 1, artikel 183, stk. 1a, første punktum, anden valgmulighed, artikel 235a, artikel 236 og artikel 236a i forordning (EU) nr. 575/2013), skal den justerede værdi (G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A</w:t>
            </w:r>
            <w:r>
              <w:rPr>
                <w:sz w:val="24"/>
                <w:rFonts w:ascii="Times New Roman" w:hAnsi="Times New Roman"/>
              </w:rPr>
              <w:t xml:space="preserve">) som defineret i artikel 235a, stk. 1, i forordning (EU) nr. 575/2013 angives.</w:t>
            </w:r>
          </w:p>
          <w:p w14:paraId="4A934ED8" w14:textId="104690E2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der anvendes PD/LGD-modelleringsjusteringsmetoden i overensstemmelse med artikel 108, stk. 1, første valgmulighed, og artikel 183, stk. 3, i forordning (EU) nr. 575/2013, og justeringen foretages i LGD, skal beløbet for kreditderivaterne indberettes i kolonne 0160.</w:t>
            </w:r>
            <w:r>
              <w:rPr>
                <w:sz w:val="24"/>
                <w:color w:val="008080"/>
                <w:u w:val="single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relevante værdi anvendt i instituttets interne model skal indberettes.</w:t>
            </w:r>
          </w:p>
        </w:tc>
      </w:tr>
      <w:tr w:rsidR="00FB3D09" w:rsidRPr="002A677E" w14:paraId="62414089" w14:textId="77777777" w:rsidTr="00822842">
        <w:tc>
          <w:tcPr>
            <w:tcW w:w="1188" w:type="dxa"/>
          </w:tcPr>
          <w:p w14:paraId="32FA088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</w:tcPr>
          <w:p w14:paraId="3D25836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ANDEN FINANSIERET KREDITRISIKOAFDÆKNING</w:t>
            </w:r>
          </w:p>
          <w:p w14:paraId="632FAD69" w14:textId="77777777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ikke anvendes, finder artikel 232, stk. 1, i forordning (EU) nr. 575/2013 anvendelse.</w:t>
            </w:r>
          </w:p>
          <w:p w14:paraId="371C738E" w14:textId="77777777" w:rsidR="00FB3D09" w:rsidRPr="000059B8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de risikovægtede eksponeringer beregnes efter substitutionsmetoden (artikel 108, stk. 1, artikel 183, stk. 1a, første punktum, anden valgmulighed, artikel 235a og artikel 236 i forordning (EU) nr. 575/2013), skal den justerede værdi (G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A</w:t>
            </w:r>
            <w:r>
              <w:rPr>
                <w:sz w:val="24"/>
                <w:rFonts w:ascii="Times New Roman" w:hAnsi="Times New Roman"/>
              </w:rPr>
              <w:t xml:space="preserve">) som defineret i artikel 235a, stk. 1, i forordning (EU) nr. 575/2013 angives.</w:t>
            </w:r>
          </w:p>
          <w:p w14:paraId="5989E354" w14:textId="7E30FA86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Eksponeringen begrænses til værdien af den oprindelige eksponering før anvendelse af konverteringsfaktorer.</w:t>
            </w:r>
          </w:p>
          <w:p w14:paraId="74A46846" w14:textId="29D167DC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justering foretages i LGD i henhold til artikel 181 i forordning (EU) nr. 575/2013, indberettes dette beløb i kolonne 0170.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6C40B204" w14:textId="77777777" w:rsidTr="00822842">
        <w:tc>
          <w:tcPr>
            <w:tcW w:w="1188" w:type="dxa"/>
          </w:tcPr>
          <w:p w14:paraId="7C55B26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0070-0080</w:t>
            </w:r>
          </w:p>
        </w:tc>
        <w:tc>
          <w:tcPr>
            <w:tcW w:w="8843" w:type="dxa"/>
          </w:tcPr>
          <w:p w14:paraId="7EA9925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SUBSTITUTION AF EKSPONERING SOM FØLGE AF KREDITRISIKOREDUKTIONSTEKNIKKER</w:t>
            </w:r>
          </w:p>
          <w:p w14:paraId="4A614404" w14:textId="0D3BCE2F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Udgående pengestrømme svarer til den dækkede del af den oprindelige eksponering før anvendelse af konverteringsfaktorer, som fratrækkes låntagerens eksponeringsklasse samt låntagerklassen eller -puljen, hvis det er relevant, og efterfølgende tildeles eksponeringsklassen for udbyderen af kreditrisikoafdækning og, i relevante tilfælde, låntagerklassen eller -puljen.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 beløb betragtes som en indgående pengestrøm i eksponeringsklassen for udbyderen af kreditrisikoafdækning og, i relevante tilfælde, i låntagerklassen eller -puljen.</w:t>
            </w:r>
          </w:p>
          <w:p w14:paraId="107B30E3" w14:textId="77777777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Indgående og udgående pengestrømme i samme eksponeringsklasser samt låntagerklasser eller -puljer, hvis det er relevant, tages også i betragtning.</w:t>
            </w:r>
          </w:p>
          <w:p w14:paraId="610F295D" w14:textId="77777777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der opstår i forbindelse med indgående og udgående pengestrømme fra og til andre skemaer, skal også medregnes.</w:t>
            </w:r>
          </w:p>
          <w:p w14:paraId="1DB2B7C5" w14:textId="3BA23E22" w:rsidR="00FB3D09" w:rsidRPr="002A677E" w:rsidRDefault="00FB3D09" w:rsidP="00822842"/>
        </w:tc>
      </w:tr>
      <w:tr w:rsidR="00FB3D09" w:rsidRPr="002A677E" w14:paraId="29952085" w14:textId="77777777" w:rsidTr="00822842">
        <w:tc>
          <w:tcPr>
            <w:tcW w:w="1188" w:type="dxa"/>
          </w:tcPr>
          <w:p w14:paraId="08FA3F2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355DD8B" w14:textId="77777777" w:rsidR="00FB3D09" w:rsidRPr="002A677E" w:rsidRDefault="00FB3D09" w:rsidP="00822842">
            <w:r>
              <w:t xml:space="preserve"> </w:t>
            </w:r>
            <w:r>
              <w:br/>
            </w:r>
          </w:p>
          <w:p w14:paraId="1020C237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</w:tcPr>
          <w:p w14:paraId="53C76B9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 EFTER SUBSTITUTIONSVIRKNINGER AF KREDITRISIKOREDUKTIONSTEKNIKKER FØR ANVENDELSE AF KONVERTERINGSFAKTORER</w:t>
            </w:r>
          </w:p>
          <w:p w14:paraId="2477F8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 tildelt den tilsvarende låntagerklasse eller -pulje og eksponeringsklasse efter hensyntagen til de ind- og udgående pengestrømme, der følger af kreditrisikoreduktionsteknikker med substitutionsvirkning på eksponeringen.</w:t>
            </w:r>
          </w:p>
        </w:tc>
      </w:tr>
      <w:tr w:rsidR="00FB3D09" w:rsidRPr="002A677E" w14:paraId="678E16FA" w14:textId="77777777" w:rsidTr="00822842">
        <w:tc>
          <w:tcPr>
            <w:tcW w:w="1188" w:type="dxa"/>
          </w:tcPr>
          <w:p w14:paraId="590D5D4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0100, 0120</w:t>
            </w:r>
          </w:p>
        </w:tc>
        <w:tc>
          <w:tcPr>
            <w:tcW w:w="8843" w:type="dxa"/>
          </w:tcPr>
          <w:p w14:paraId="70C0CAF4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 Ikkebalanceførte poster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2F36E22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instrukserne til CR SA.</w:t>
            </w:r>
          </w:p>
        </w:tc>
      </w:tr>
      <w:tr w:rsidR="00FB3D09" w:rsidRPr="002A677E" w14:paraId="00A4DCE6" w14:textId="77777777" w:rsidTr="00822842">
        <w:tc>
          <w:tcPr>
            <w:tcW w:w="1188" w:type="dxa"/>
          </w:tcPr>
          <w:p w14:paraId="511472D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0101-0107</w:t>
            </w:r>
          </w:p>
        </w:tc>
        <w:tc>
          <w:tcPr>
            <w:tcW w:w="8843" w:type="dxa"/>
          </w:tcPr>
          <w:p w14:paraId="1886DC9B" w14:textId="77777777" w:rsidR="00FB3D09" w:rsidRPr="00B7761D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OPDELING AF FULDT JUSTERET EKSPONERINGSVÆRDI AF IKKEBALANCEFØRTE POSTER EFTER KONVERTERINGSFAKTOR</w:t>
            </w:r>
          </w:p>
          <w:p w14:paraId="08C9DDC2" w14:textId="77777777" w:rsidR="00FB3D09" w:rsidRPr="002A677E" w:rsidRDefault="00FB3D09" w:rsidP="00822842">
            <w:pPr>
              <w:pStyle w:val="InstructionsText"/>
            </w:pPr>
            <w:r>
              <w:t xml:space="preserve">Artikel 166, stk. 8, i overensstemmelse med stk. 8a og 8b samt artikel 151, stk. 8, i forordning (EU) nr. 575/2013.</w:t>
            </w:r>
          </w:p>
          <w:p w14:paraId="434D1ED6" w14:textId="77777777" w:rsidR="00FB3D09" w:rsidRPr="00E438EB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tal, der indberettes, skal være den fuldt justerede eksponeringsværdi før anvendelse af konverteringsfaktoren.</w:t>
            </w:r>
          </w:p>
        </w:tc>
      </w:tr>
      <w:tr w:rsidR="00FB3D09" w:rsidRPr="002A677E" w14:paraId="56ED3146" w14:textId="77777777" w:rsidTr="00822842">
        <w:tc>
          <w:tcPr>
            <w:tcW w:w="1188" w:type="dxa"/>
          </w:tcPr>
          <w:p w14:paraId="4FBB1F46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0101</w:t>
            </w:r>
          </w:p>
        </w:tc>
        <w:tc>
          <w:tcPr>
            <w:tcW w:w="8843" w:type="dxa"/>
          </w:tcPr>
          <w:p w14:paraId="58AB915A" w14:textId="77777777" w:rsidR="00FB3D09" w:rsidRPr="00B7761D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MODELLEREDE KONVERTERINGSFAKTORER</w:t>
            </w:r>
          </w:p>
          <w:p w14:paraId="48F41598" w14:textId="77777777" w:rsidR="00FB3D09" w:rsidRPr="00E438EB" w:rsidRDefault="00FB3D09" w:rsidP="00822842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t xml:space="preserve">Artikel 166, stk. 8b og 8c, og artikel 182 i forordning (EU) nr. 575/2013</w:t>
            </w:r>
          </w:p>
        </w:tc>
      </w:tr>
      <w:tr w:rsidR="00FB3D09" w:rsidRPr="002A677E" w14:paraId="723ED349" w14:textId="77777777" w:rsidTr="00822842">
        <w:tc>
          <w:tcPr>
            <w:tcW w:w="1188" w:type="dxa"/>
          </w:tcPr>
          <w:p w14:paraId="64882817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0102-0107</w:t>
            </w:r>
          </w:p>
        </w:tc>
        <w:tc>
          <w:tcPr>
            <w:tcW w:w="8843" w:type="dxa"/>
          </w:tcPr>
          <w:p w14:paraId="5676D624" w14:textId="77777777" w:rsidR="00FB3D09" w:rsidRPr="00B7761D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STANDARDKONVERTERINGSFAKTORER</w:t>
            </w:r>
          </w:p>
          <w:p w14:paraId="2802107A" w14:textId="77777777" w:rsidR="00FB3D09" w:rsidRPr="00433E67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166, stk. 8a, i forordning (EU) nr. 575/2013.</w:t>
            </w:r>
          </w:p>
        </w:tc>
      </w:tr>
      <w:tr w:rsidR="00FB3D09" w:rsidRPr="002A677E" w14:paraId="72A515B8" w14:textId="77777777" w:rsidTr="00822842">
        <w:tc>
          <w:tcPr>
            <w:tcW w:w="1188" w:type="dxa"/>
          </w:tcPr>
          <w:p w14:paraId="6F3C95D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</w:tcPr>
          <w:p w14:paraId="024D894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EKSPONERINGSVÆRDI</w:t>
            </w:r>
          </w:p>
          <w:p w14:paraId="7397AAA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Eksponeringsværdierne som fastsat i henhold til artikel 166 i forordning (EU) nr. 575/2013og artikel 230, stk. 1, andet punktum, i nævnte forordning indberettes.</w:t>
            </w:r>
          </w:p>
          <w:p w14:paraId="1C7B98CD" w14:textId="775FF974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instrumenter omhandlet i bilag I anvendes kreditkonverteringsfaktorer og procentsatser i henhold til artikel 166, stk. 8 og 9, i forordning (EU) nr. 575/2013, uanset hvilken metode instituttet har valgt.</w:t>
            </w:r>
          </w:p>
          <w:p w14:paraId="4CA1B4E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Eksponeringsværdierne for CCR-relateret forretningsaktivitet skal være de samme som indberettet i kolonne 0130.</w:t>
            </w:r>
          </w:p>
        </w:tc>
      </w:tr>
      <w:tr w:rsidR="00FB3D09" w:rsidRPr="002A677E" w14:paraId="7E1EABB6" w14:textId="77777777" w:rsidTr="00822842">
        <w:tc>
          <w:tcPr>
            <w:tcW w:w="1188" w:type="dxa"/>
          </w:tcPr>
          <w:p w14:paraId="423F28F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843" w:type="dxa"/>
          </w:tcPr>
          <w:p w14:paraId="0C131540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 Som opstår i forbindelse med modpartsrisiko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322EE5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de tilsvarende instrukser til CR SA i kolonne 0210.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5236CDCC" w14:textId="77777777" w:rsidTr="00822842">
        <w:tc>
          <w:tcPr>
            <w:tcW w:w="1188" w:type="dxa"/>
          </w:tcPr>
          <w:p w14:paraId="79AE6E1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843" w:type="dxa"/>
          </w:tcPr>
          <w:p w14:paraId="33C21D5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HERAF: STORE ENHEDER I DEN FINANSIELLE SEKTOR OG UREGULEREDE FINANSIELLE ENHEDER</w:t>
            </w:r>
          </w:p>
          <w:p w14:paraId="38EC098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Opdeling af eksponeringsværdien for alle eksponeringer mod enheder omhandlet i artikel 142, stk. 1, nr. 4) og 5), i forordning (EU) nr. 575/2013, der er omfattet af den højeste korrelationskoefficient fastsat i overensstemmelse med artikel 153, stk. 2, i nævnte forordning.</w:t>
            </w:r>
          </w:p>
        </w:tc>
      </w:tr>
      <w:tr w:rsidR="00FB3D09" w:rsidRPr="002A677E" w14:paraId="5C3F07BE" w14:textId="77777777" w:rsidTr="00822842">
        <w:trPr>
          <w:trHeight w:val="708"/>
        </w:trPr>
        <w:tc>
          <w:tcPr>
            <w:tcW w:w="1188" w:type="dxa"/>
          </w:tcPr>
          <w:p w14:paraId="1B81DCB5" w14:textId="77777777" w:rsidR="00FB3D09" w:rsidRPr="002A677E" w:rsidDel="001D4BE0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0150-0210</w:t>
            </w:r>
          </w:p>
        </w:tc>
        <w:tc>
          <w:tcPr>
            <w:tcW w:w="8843" w:type="dxa"/>
          </w:tcPr>
          <w:p w14:paraId="5FFCDE2C" w14:textId="37F1BD92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KREDITRISIKOREDUKTIONSTEKNIKKER, DER INDGÅR I LGD-ESTIMATER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2E436B3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Kreditrisikoreduktionsteknikker, der påvirker LGD-estimater som følge af anvendelsen af substitutionsvirkningen af kreditrisikoreduktionsteknikker, indberettes ikke i disse kolonner.</w:t>
            </w:r>
          </w:p>
          <w:p w14:paraId="0813160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Værdien af den sikkerhed, der indberettes, begrænses til eksponeringsværdien.</w:t>
            </w:r>
          </w:p>
          <w:p w14:paraId="5F41737F" w14:textId="02BF2E74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ikke anvendes, tages der hensyn til artikel 230, stk. 1, 2 og 4, og artikel 231 i forordning (EU) nr. 575/2013.</w:t>
            </w:r>
          </w:p>
          <w:p w14:paraId="6CF8B54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anvendes: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C4E5F4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 For så vidt angår ufinansieret kreditrisikoafdækning, for eksponeringer mod centralregeringer og centralbanker, institutter og selskaber, tages der hensyn til artikel 161, stk. 3,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 detaileksponeringer tages der hensyn til artikel 164, stk. 2, i forordning (EU) nr. 575/2013.</w:t>
            </w:r>
          </w:p>
          <w:p w14:paraId="05A9C033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 For så vidt angår finansieret kreditrisikoafdækning, indregnes sikkerhedsstillelsen i LGD-estimaterne i henhold til artikel 181, stk. 1, litra e) og f), i forordning (EU) nr. 575/2013.</w:t>
            </w:r>
          </w:p>
        </w:tc>
      </w:tr>
      <w:tr w:rsidR="00FB3D09" w:rsidRPr="002A677E" w14:paraId="4CC8BF71" w14:textId="77777777" w:rsidTr="00822842">
        <w:trPr>
          <w:trHeight w:val="957"/>
        </w:trPr>
        <w:tc>
          <w:tcPr>
            <w:tcW w:w="1188" w:type="dxa"/>
          </w:tcPr>
          <w:p w14:paraId="7918EC1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843" w:type="dxa"/>
          </w:tcPr>
          <w:p w14:paraId="4C26606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GARANTIER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74C7F9E" w14:textId="77777777" w:rsidR="00FB3D09" w:rsidRPr="002A677E" w:rsidRDefault="00FB3D09" w:rsidP="00822842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 til kolonne 0040.</w:t>
            </w:r>
          </w:p>
        </w:tc>
      </w:tr>
      <w:tr w:rsidR="00FB3D09" w:rsidRPr="002A677E" w14:paraId="052C8B55" w14:textId="77777777" w:rsidTr="00822842">
        <w:tc>
          <w:tcPr>
            <w:tcW w:w="1188" w:type="dxa"/>
          </w:tcPr>
          <w:p w14:paraId="4C65336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843" w:type="dxa"/>
          </w:tcPr>
          <w:p w14:paraId="61710E9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KREDITDERIVATER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948B3F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 til kolonne 0050.</w:t>
            </w:r>
          </w:p>
        </w:tc>
      </w:tr>
      <w:tr w:rsidR="00FB3D09" w14:paraId="66ECA0F4" w14:textId="77777777" w:rsidTr="00822842">
        <w:trPr>
          <w:trHeight w:val="300"/>
        </w:trPr>
        <w:tc>
          <w:tcPr>
            <w:tcW w:w="1188" w:type="dxa"/>
          </w:tcPr>
          <w:p w14:paraId="18EA00BE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0170-0210</w:t>
            </w:r>
          </w:p>
        </w:tc>
        <w:tc>
          <w:tcPr>
            <w:tcW w:w="8843" w:type="dxa"/>
          </w:tcPr>
          <w:p w14:paraId="642B29BA" w14:textId="77777777" w:rsidR="00FB3D09" w:rsidRDefault="00FB3D09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FINANSIERET KREDITRISIKOAFDÆKNING</w:t>
            </w:r>
          </w:p>
        </w:tc>
      </w:tr>
      <w:tr w:rsidR="00FB3D09" w:rsidRPr="002A677E" w14:paraId="4AF255C0" w14:textId="77777777" w:rsidTr="00822842">
        <w:tc>
          <w:tcPr>
            <w:tcW w:w="1188" w:type="dxa"/>
          </w:tcPr>
          <w:p w14:paraId="1EE7AF6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0170-0173</w:t>
            </w:r>
          </w:p>
        </w:tc>
        <w:tc>
          <w:tcPr>
            <w:tcW w:w="8843" w:type="dxa"/>
          </w:tcPr>
          <w:p w14:paraId="3941829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EGNE ESTIMATER AF LGD ANVENDES: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ANDEN FINANSIERET KREDITRISIKOAFDÆKNING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13C028C" w14:textId="77777777" w:rsidR="00FB3D09" w:rsidRPr="000059B8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Artikel 181, stk. 1, litra e) og f), i forordning (EU) nr. 575/2013</w:t>
            </w:r>
          </w:p>
          <w:p w14:paraId="163A7BF8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Den relevante værdi anvendt i instituttets interne model.</w:t>
            </w:r>
          </w:p>
          <w:p w14:paraId="5CB29B0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foranstaltninger til kreditrisikoreduktion, der opfylder kriterierne i artikel 212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75F84050" w14:textId="77777777" w:rsidTr="00822842">
        <w:tc>
          <w:tcPr>
            <w:tcW w:w="1188" w:type="dxa"/>
          </w:tcPr>
          <w:p w14:paraId="4DD08A6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0171</w:t>
            </w:r>
          </w:p>
        </w:tc>
        <w:tc>
          <w:tcPr>
            <w:tcW w:w="8843" w:type="dxa"/>
          </w:tcPr>
          <w:p w14:paraId="545A819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INDSKUD I KONTANTER</w:t>
            </w:r>
          </w:p>
          <w:p w14:paraId="2F2A2E1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 200, litra a), i forordning (EU) nr.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037C11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Indskud i kontanter eller kontantlignende instrumenter, som er placeret i et tredjepartsinstitut, uden at der foreligger en depotaftale, og som er pantsat til det långivende institut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Værdien af den sikkerhed, der indberettes, begrænses til eksponeringsværdien for den enkelte eksponering.</w:t>
            </w:r>
          </w:p>
        </w:tc>
      </w:tr>
      <w:tr w:rsidR="00FB3D09" w:rsidRPr="002A677E" w14:paraId="6605DFE4" w14:textId="77777777" w:rsidTr="00822842">
        <w:tc>
          <w:tcPr>
            <w:tcW w:w="1188" w:type="dxa"/>
          </w:tcPr>
          <w:p w14:paraId="4FC8218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0172</w:t>
            </w:r>
          </w:p>
        </w:tc>
        <w:tc>
          <w:tcPr>
            <w:tcW w:w="8843" w:type="dxa"/>
          </w:tcPr>
          <w:p w14:paraId="4BBBA9B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LIVSFORSIKRINGSPOLICER</w:t>
            </w:r>
          </w:p>
          <w:p w14:paraId="796996C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 200, litra b), i forordning (EU) nr.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2C977C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Værdien af den sikkerhed, der indberettes, begrænses til eksponeringsværdien for den enkelte eksponering.</w:t>
            </w:r>
          </w:p>
        </w:tc>
      </w:tr>
      <w:tr w:rsidR="00FB3D09" w:rsidRPr="002A677E" w14:paraId="12F298DE" w14:textId="77777777" w:rsidTr="00822842">
        <w:tc>
          <w:tcPr>
            <w:tcW w:w="1188" w:type="dxa"/>
          </w:tcPr>
          <w:p w14:paraId="0A6B27A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0173</w:t>
            </w:r>
          </w:p>
        </w:tc>
        <w:tc>
          <w:tcPr>
            <w:tcW w:w="8843" w:type="dxa"/>
          </w:tcPr>
          <w:p w14:paraId="4BDD659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INSTRUMENTER, SOM BESIDDES AF TREDJEPART</w:t>
            </w:r>
          </w:p>
          <w:p w14:paraId="078E707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 200, litra c), i forordning (EU) nr.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E7CC08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omfatter instrumenter, som er udstedt af et tredjepartsinstitut, og som på anmodning købes tilbage af dette institut.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Værdien af den sikkerhed, der indberettes, begrænses til eksponeringsværdien for den enkelte eksponering.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Denne kolonne udelukker de eksponeringer, der er omfattet af instrumenter, som besiddes af en tredjepart, hvis institutter i overensstemmelse med artikel 232, stk. 4, i forordning (EU) nr. 575/2013 behandler instrumenter, som på anmodning købes tilbage og er anerkendt i henhold til artikel 200, litra c), i nævnte forordning, som en garanti fra den udstedende institution.</w:t>
            </w:r>
          </w:p>
        </w:tc>
      </w:tr>
      <w:tr w:rsidR="00FB3D09" w:rsidRPr="002A677E" w14:paraId="7F635CD0" w14:textId="77777777" w:rsidTr="00822842">
        <w:tc>
          <w:tcPr>
            <w:tcW w:w="1188" w:type="dxa"/>
          </w:tcPr>
          <w:p w14:paraId="7FDF3B8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843" w:type="dxa"/>
          </w:tcPr>
          <w:p w14:paraId="31FAF9A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ANERKENDT FINANSIEL SIKKERHED</w:t>
            </w:r>
          </w:p>
          <w:p w14:paraId="0447D58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Ved transaktioner i handelsbeholdningen er finansielle instrumenter og råvarer, der kan indgå som eksponeringer i handelsbeholdningen i henhold til artikel 299, stk. 2, litra c) til f), i forordning (EU) nr. 575/2013, omfattet.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Credit linked notes og balanceført netting i henhold til tredje del, afsnit II, kapitel 4, afdeling 4, i forordning (EU) nr. 575/2013 behandles som kontant sikkerhed.</w:t>
            </w:r>
          </w:p>
          <w:p w14:paraId="52D78AC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der ikke anvendes egne estimater af LGD for anerkendt finansiel sikkerhedsstillelse i overensstemmelse med artikel 197 i forordning (EU) nr. 575/2013, indberettes den justerede værdi (Cvam) som omhandlet i artikel 223, stk. 2, i nævnte forordning.</w:t>
            </w:r>
          </w:p>
          <w:p w14:paraId="31F42CB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anvendes, indregnes den finansielle sikkerhedsstillelse i LGD-estimaterne i henhold til artikel 181, stk. 1, litra e) og f),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 indberettede beløb skal være den estimerede markedsværdi af sikkerheden.</w:t>
            </w:r>
          </w:p>
        </w:tc>
      </w:tr>
      <w:tr w:rsidR="00FB3D09" w:rsidRPr="002A677E" w14:paraId="175F5CB2" w14:textId="77777777" w:rsidTr="00822842">
        <w:tc>
          <w:tcPr>
            <w:tcW w:w="1188" w:type="dxa"/>
          </w:tcPr>
          <w:p w14:paraId="21EC8197" w14:textId="77777777" w:rsidR="00FB3D09" w:rsidRPr="002A677E" w:rsidDel="001D4BE0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0190-0210</w:t>
            </w:r>
          </w:p>
        </w:tc>
        <w:tc>
          <w:tcPr>
            <w:tcW w:w="8843" w:type="dxa"/>
          </w:tcPr>
          <w:p w14:paraId="0934323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ANDEN ANERKENDT SIKKERHED</w:t>
            </w:r>
          </w:p>
          <w:p w14:paraId="3277DA0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ikke anvendes, fastsættes værdier i henhold til artikel 199, stk. 1 til 8, i forordning (EU) nr. 575/2013og artikel 229 i nævnte forordning.</w:t>
            </w:r>
          </w:p>
          <w:p w14:paraId="3AF3004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anvendes, indregnes anden sikkerhedsstillelse i LGD-estimaterne i henhold til artikel 181, stk. 1, litra e) og f), i forordning (EU) nr. 575/2013.</w:t>
            </w:r>
          </w:p>
        </w:tc>
      </w:tr>
      <w:tr w:rsidR="00FB3D09" w:rsidRPr="002A677E" w14:paraId="57654874" w14:textId="77777777" w:rsidTr="00822842">
        <w:tc>
          <w:tcPr>
            <w:tcW w:w="1188" w:type="dxa"/>
          </w:tcPr>
          <w:p w14:paraId="4073E085" w14:textId="77777777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843" w:type="dxa"/>
          </w:tcPr>
          <w:p w14:paraId="38792F93" w14:textId="77777777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FAST EJENDOM</w:t>
            </w:r>
          </w:p>
          <w:p w14:paraId="1C22EB67" w14:textId="7B65D474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ikke anvendes, fastsættes værdier i henhold til artikel 199, stk. 2 til 4a, i forordning (EU) nr. 575/2013, og de indberettes i denne kolonne.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Leasing af fast ejendom er også omfattet (se artikel 199, stk. 7, i forordning (EU) nr. 575/2013).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Se også artikel 229 i forordning (EU) nr. 575/2013.</w:t>
            </w:r>
          </w:p>
          <w:p w14:paraId="02AD8F76" w14:textId="77777777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anvendes, skal det indberettede beløb være den estimerede markedsværdi.</w:t>
            </w:r>
          </w:p>
        </w:tc>
      </w:tr>
      <w:tr w:rsidR="00FB3D09" w:rsidRPr="002A677E" w14:paraId="5A77D1F7" w14:textId="77777777" w:rsidTr="00822842">
        <w:tc>
          <w:tcPr>
            <w:tcW w:w="1188" w:type="dxa"/>
          </w:tcPr>
          <w:p w14:paraId="639978E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843" w:type="dxa"/>
          </w:tcPr>
          <w:p w14:paraId="11BF78C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ANDEN FYSISK SIKKERHED</w:t>
            </w:r>
          </w:p>
          <w:p w14:paraId="79893BB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ikke anvendes, fastsættes værdier i henhold til artikel 199, stk. 6 og 8, i forordning (EU) nr. 575/2013, og de indberettes i denne kolonne.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Leasing af anden ejendom end fast ejendom er også omfattet (se artikel 199, stk. 7, i forordning (EU) nr. 575/2013).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Se også artikel 229, stk. 3,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0C5AC83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anvendes, skal det indberettede beløb være den estimerede markedsværdi af sikkerheden.</w:t>
            </w:r>
          </w:p>
        </w:tc>
      </w:tr>
      <w:tr w:rsidR="00FB3D09" w:rsidRPr="002A677E" w14:paraId="6B2A20B1" w14:textId="77777777" w:rsidTr="00822842">
        <w:tc>
          <w:tcPr>
            <w:tcW w:w="1188" w:type="dxa"/>
          </w:tcPr>
          <w:p w14:paraId="41BEC94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843" w:type="dxa"/>
          </w:tcPr>
          <w:p w14:paraId="4F3D36E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FORDRINGER</w:t>
            </w:r>
          </w:p>
          <w:p w14:paraId="7A705B5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ikke anvendes, fastsættes værdier i henhold til artikel 199, stk. 5, og artikel 229, stk. 2, i forordning (EU) nr. 575/2013, og de indberettes i denne kolonne.</w:t>
            </w:r>
          </w:p>
          <w:p w14:paraId="436DED0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anvendes, skal det indberettede beløb være den estimerede markedsværdi af sikkerheden.</w:t>
            </w:r>
          </w:p>
        </w:tc>
      </w:tr>
      <w:tr w:rsidR="00FB3D09" w:rsidRPr="002A677E" w14:paraId="60E8AC07" w14:textId="77777777" w:rsidTr="00822842">
        <w:tc>
          <w:tcPr>
            <w:tcW w:w="1188" w:type="dxa"/>
          </w:tcPr>
          <w:p w14:paraId="5D57504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843" w:type="dxa"/>
          </w:tcPr>
          <w:p w14:paraId="79AFFD3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EKSPONERINGSVÆGTET GENNEMSNITLIGT LGD (%)</w:t>
            </w:r>
          </w:p>
          <w:p w14:paraId="6F9170F4" w14:textId="5D91644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Hele virkningen af kreditrisikoreduktionsteknikker på LGD-værdier, jf. tredje del, afsnit II, kapitel 3 og 4, i forordning (EU) nr. 575/2013, indregnes.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9A7425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misligholdte eksponeringer tages der hensyn til artikel 181, stk. 1, litra h), i forordning (EU) nr. 575/2013.</w:t>
            </w:r>
          </w:p>
          <w:p w14:paraId="60A8EDA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Eksponeringsværdien omhandlet i kolonne 0110 bruges til at beregne de eksponeringsvægtede gennemsnitsværdier.</w:t>
            </w:r>
          </w:p>
          <w:p w14:paraId="4BB1142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Alle virkninger skal tages i betragtning (så virkningerne af bundværdien, der gælder for eksponeringer sikret ved pant i fast ejendom, jf. artikel 164, stk. 4, i forordning (EU) nr. 575/2013, skal medtages i indberetningen).</w:t>
            </w:r>
          </w:p>
          <w:p w14:paraId="635EEDC3" w14:textId="2DC0DF92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institutter, der anvender IRB-metoden, men som ikke anvender deres egne estimater af LGD, afspejles den risikoreducerende virkning af finansiel sikkerhed i E*, den fuldt justerede værdi af eksponeringen, og afspejles derefter i LGD*, jf. artikel 230 i forordning (EU) nr. 575/2013.</w:t>
            </w:r>
          </w:p>
          <w:p w14:paraId="4BD44AA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eksponeringsvægtede gennemsnitlige LGD, som er knyttet til PD'en for hver låntagerklasse eller -pulje, er resultatet af de gennemsnitlige forsigtigheds-LGD'er, der er tildelt eksponeringer i den pågældende PD-klasse/-pulje vægtet med den relevante eksponeringsværdi i kolonne 0110.</w:t>
            </w:r>
          </w:p>
          <w:p w14:paraId="2A3FAE7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egne estimater af LGD anvendes, tages der hensyn til artikel 175 og artikel 181, stk. 1 og 2, i forordning (EU) nr. 575/2013.</w:t>
            </w:r>
          </w:p>
          <w:p w14:paraId="0DF969B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Beregningen af det eksponeringsvægtede gennemsnitlige LGD udledes af de risikoparametre, der reelt anvendes i skalaen for interne ratings, som er godkendt af den relevante kompetente myndighed.</w:t>
            </w:r>
          </w:p>
          <w:p w14:paraId="345A6D2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Data indberettes ikke for de eksponeringer mod specialiseret långivning, der er nævnt i artikel 153, stk. 5,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Hvis PD er estimeret for specialiserede långivningseksponeringer, indberettes data baseret på egne estimater af LGD eller lovpligtig LGD.</w:t>
            </w:r>
          </w:p>
          <w:p w14:paraId="0C1A1D7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og de forskellige LGD'er for store regulerede enheder i den finansielle sektor og uregulerede finansielle enheder medtages ikke i beregningen af kolonne 0230. De medtages kun i beregningen af kolonne 0240.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6B45F6BD" w14:textId="77777777" w:rsidTr="00822842">
        <w:tc>
          <w:tcPr>
            <w:tcW w:w="1188" w:type="dxa"/>
          </w:tcPr>
          <w:p w14:paraId="591C6D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843" w:type="dxa"/>
          </w:tcPr>
          <w:p w14:paraId="32B1C75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EKSPONERINGSVÆGTET GENNEMSNITLIGT LGD (%) FOR STORE REGULEREDE ENHEDER I DEN FINANSIELLE SEKTOR OG UREGULEREDE FINANSIELLE ENHEDER</w:t>
            </w:r>
          </w:p>
          <w:p w14:paraId="6939D8F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Eksponeringsvægtet gennemsnitligt LGD (%) for alle eksponeringer mod store enheder i den finansielle sektor som defineret i artikel 142, stk. 1, nr. 4), i forordning (EU) nr. 575/2013og mod uregulerede enheder i den finansielle sektor som defineret i artikel 142, stk. 1, nr. 5), i forordning (EU) nr. 575/2013, der er omfattet af den højeste korrelationskoefficient fastsat i overensstemmelse med artikel 153, stk. 2, i forordning (EU) nr. 575/2013.</w:t>
            </w:r>
          </w:p>
        </w:tc>
      </w:tr>
      <w:tr w:rsidR="00FB3D09" w:rsidRPr="002A677E" w14:paraId="176E6206" w14:textId="77777777" w:rsidTr="00822842">
        <w:tc>
          <w:tcPr>
            <w:tcW w:w="1188" w:type="dxa"/>
          </w:tcPr>
          <w:p w14:paraId="76179D8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8843" w:type="dxa"/>
          </w:tcPr>
          <w:p w14:paraId="0303416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EKSPONERINGSVÆGTET GENNEMSNITLIG LØBETID (DAGE)</w:t>
            </w:r>
          </w:p>
          <w:p w14:paraId="2EF0BB8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indberettede værdi fastsættes i overensstemmelse med artikel 162,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Eksponeringsværdien (kolonne 0110) bruges til at beregne de eksponeringsvægtede gennemsnitsværdier.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gennemsnitlige løbetid indberettes i dage.</w:t>
            </w:r>
          </w:p>
          <w:p w14:paraId="6457CD5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oplysning indberettes ikke for eksponeringsværdier, for hvilke løbetid ikke er et element i beregningen af de risikovægtede eksponeringsbeløb.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 betyder, at denne kolonne ikke udfyldes for eksponeringsklassen "detail".</w:t>
            </w:r>
          </w:p>
        </w:tc>
      </w:tr>
      <w:tr w:rsidR="00FB3D09" w:rsidRPr="002A677E" w14:paraId="713A30E1" w14:textId="77777777" w:rsidTr="00822842">
        <w:tc>
          <w:tcPr>
            <w:tcW w:w="1188" w:type="dxa"/>
          </w:tcPr>
          <w:p w14:paraId="00B32F9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0255</w:t>
            </w:r>
          </w:p>
        </w:tc>
        <w:tc>
          <w:tcPr>
            <w:tcW w:w="8843" w:type="dxa"/>
          </w:tcPr>
          <w:p w14:paraId="75364CA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RISIKOVÆGTEDE EKSPONERINGER FØR ANVENDELSE AF STØTTEFAKTORER</w:t>
            </w:r>
          </w:p>
          <w:p w14:paraId="3F28CDB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så vidt angår centralregeringer og centralbanker, selskaber og institutter, se artikel 153, stk. 1, 2, 3 og 4,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 så vidt angår detail, se artikel 154, stk. 1,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B679E8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Støttefaktorerne for SMV'er og infrastruktur, som er fastsat i artikel 501 og 501a i forordning (EU) nr. 575/2013, indregnes ikke.</w:t>
            </w:r>
          </w:p>
        </w:tc>
      </w:tr>
      <w:tr w:rsidR="00FB3D09" w:rsidRPr="002A677E" w14:paraId="00547464" w14:textId="77777777" w:rsidTr="00822842">
        <w:tc>
          <w:tcPr>
            <w:tcW w:w="1188" w:type="dxa"/>
          </w:tcPr>
          <w:p w14:paraId="607227A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0256</w:t>
            </w:r>
          </w:p>
        </w:tc>
        <w:tc>
          <w:tcPr>
            <w:tcW w:w="8843" w:type="dxa"/>
          </w:tcPr>
          <w:p w14:paraId="16679AD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JUSTERING AF DEN RISIKOVÆGTEDE EKSPONERING SOM FØLGE AF STØTTEFAKTOREN SMV</w:t>
            </w:r>
          </w:p>
          <w:p w14:paraId="1FAB0E6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Fradrag af forskellen mellem de risikovægtede eksponeringer af ikkemisligholdte eksponeringer mod en SMV (RWEA), som beregnes i henhold til tredje del, afsnit II, kapitel 3, i forordning (EU) nr. 575/2013, alt efter hvad der er relevant, og RWEA* i henhold til artikel 501 i nævnte forordning.</w:t>
            </w:r>
          </w:p>
        </w:tc>
      </w:tr>
      <w:tr w:rsidR="00FB3D09" w:rsidRPr="002A677E" w14:paraId="601EC6CE" w14:textId="77777777" w:rsidTr="00822842">
        <w:tc>
          <w:tcPr>
            <w:tcW w:w="1188" w:type="dxa"/>
          </w:tcPr>
          <w:p w14:paraId="4301D42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0257</w:t>
            </w:r>
          </w:p>
        </w:tc>
        <w:tc>
          <w:tcPr>
            <w:tcW w:w="8843" w:type="dxa"/>
          </w:tcPr>
          <w:p w14:paraId="3835B6D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JUSTERING AF DEN RISIKOVÆGTEDE EKSPONERING SOM FØLGE AF STØTTEFAKTOREN INFRASTRUKTUR</w:t>
            </w:r>
          </w:p>
          <w:p w14:paraId="7FB50F7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Fradrag af forskellen mellem de risikovægtede eksponeringer beregnet i overensstemmelse med tredje del, afsnit II, i forordning (EU) nr. 575/2013og den justerede RWEA for kreditrisikoen vedrørende eksponeringer mod enheder, der driver eller finansierer fysiske strukturer eller faciliteter, systemer og net, der leverer eller støtter grundlæggende offentlige tjenester i overensstemmelse med artikel 501a i nævnte forordning.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01863AFF" w14:textId="77777777" w:rsidTr="00822842">
        <w:tc>
          <w:tcPr>
            <w:tcW w:w="1188" w:type="dxa"/>
            <w:shd w:val="clear" w:color="auto" w:fill="auto"/>
          </w:tcPr>
          <w:p w14:paraId="17BDBBC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8843" w:type="dxa"/>
            <w:shd w:val="clear" w:color="auto" w:fill="auto"/>
          </w:tcPr>
          <w:p w14:paraId="64DAA80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RISIKOVÆGTET EKSPONERING EFTER ANVENDELSE AF STØTTEFAKTORER</w:t>
            </w:r>
          </w:p>
          <w:p w14:paraId="336DC8E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så vidt angår centralregeringer og centralbanker, selskaber og institutter, se artikel 153, stk. 1, 2, 3 og 4,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 så vidt angår detail, se artikel 154, stk. 1, i forordning (EU) nr. 575/2013.</w:t>
            </w:r>
          </w:p>
          <w:p w14:paraId="15BFFE2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Støttefaktorerne for SMV'er og infrastruktur, som er fastsat i artikel 501 og 501a i forordning (EU) nr. 575/2013, indregnes.</w:t>
            </w:r>
          </w:p>
        </w:tc>
      </w:tr>
      <w:tr w:rsidR="00FB3D09" w:rsidRPr="002A677E" w14:paraId="1E25EE5D" w14:textId="77777777" w:rsidTr="00822842">
        <w:tc>
          <w:tcPr>
            <w:tcW w:w="1188" w:type="dxa"/>
            <w:shd w:val="clear" w:color="auto" w:fill="auto"/>
          </w:tcPr>
          <w:p w14:paraId="159202C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843" w:type="dxa"/>
            <w:shd w:val="clear" w:color="auto" w:fill="auto"/>
          </w:tcPr>
          <w:p w14:paraId="1D818AB3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HERAF: STORE ENHEDER I DEN FINANSIELLE SEKTOR OG UREGULEREDE FINANSIELLE ENHEDER</w:t>
            </w:r>
          </w:p>
          <w:p w14:paraId="0DB2C46B" w14:textId="77777777" w:rsidR="00FB3D09" w:rsidRPr="002A677E" w:rsidDel="005A2363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Opdeling af den risikovægtede eksponering efter anvendelse af støttefaktoren for SMV'er for alle eksponeringer mod store enheder i den finansielle sektor som defineret i artikel 142, stk. 1, nr. 4), i forordning (EU) nr. 575/2013 og mod uregulerede enheder i den finansielle sektor som defineret i artikel 142, stk. 1, nr. 5), i nævnte forordning, der er omfattet af den højeste korrelationskoefficient fastsat i overensstemmelse med artikel 153, stk. 2, i nævnte forordning.</w:t>
            </w:r>
          </w:p>
        </w:tc>
      </w:tr>
      <w:tr w:rsidR="00FB3D09" w:rsidRPr="002A677E" w14:paraId="60FB0B14" w14:textId="77777777" w:rsidTr="00822842">
        <w:tc>
          <w:tcPr>
            <w:tcW w:w="1188" w:type="dxa"/>
          </w:tcPr>
          <w:p w14:paraId="30362B6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8843" w:type="dxa"/>
          </w:tcPr>
          <w:p w14:paraId="292D01A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FORVENTET TAB</w:t>
            </w:r>
          </w:p>
          <w:p w14:paraId="3EA527F7" w14:textId="77777777" w:rsidR="00FB3D09" w:rsidRPr="002A677E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så vidt angår definitionen af forventet tab, se artikel 5, nr. 3), i forordning (EU) nr. 575/2013. Se artikel 158 i nævnte forordning for oplysninger om beregningen af det forventede tab.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 så vidt angår misligholdte eksponeringer, se artikel 181, stk. 1, litra h),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 forventede tab, der indberettes, skal baseres på de risikoparametre, der reelt anvendes i skalaen for interne ratings, som er godkendt af den relevante kompetente myndighed.</w:t>
            </w:r>
          </w:p>
        </w:tc>
      </w:tr>
      <w:tr w:rsidR="00FB3D09" w:rsidRPr="002A677E" w14:paraId="78AB62DA" w14:textId="77777777" w:rsidTr="00822842">
        <w:tc>
          <w:tcPr>
            <w:tcW w:w="1188" w:type="dxa"/>
          </w:tcPr>
          <w:p w14:paraId="19E4E66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8843" w:type="dxa"/>
          </w:tcPr>
          <w:p w14:paraId="7D685CC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VÆRDIJUSTERINGER OG HENSÆTTELSER</w:t>
            </w:r>
          </w:p>
          <w:p w14:paraId="27BC2A3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Værdijusteringer samt specifikke og generelle kreditrisikojusteringer i medfør af artikel 159 i forordning (EU) nr. 575/2013 indberettes.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Generelle kreditrisikojusteringer indberettes ved at tildele beløbet pro rata ud fra de forskellige låntagerklassers forventede tab.</w:t>
            </w:r>
          </w:p>
        </w:tc>
      </w:tr>
      <w:tr w:rsidR="00FB3D09" w:rsidRPr="002A677E" w14:paraId="21C57CE6" w14:textId="77777777" w:rsidTr="00822842">
        <w:tc>
          <w:tcPr>
            <w:tcW w:w="1188" w:type="dxa"/>
          </w:tcPr>
          <w:p w14:paraId="61FC4938" w14:textId="77777777" w:rsidR="00FB3D09" w:rsidRPr="002A677E" w:rsidRDefault="00FB3D09" w:rsidP="00822842">
            <w:pPr>
              <w:ind w:right="-288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8843" w:type="dxa"/>
          </w:tcPr>
          <w:p w14:paraId="2691C548" w14:textId="77777777" w:rsidR="00FB3D09" w:rsidRPr="002A677E" w:rsidRDefault="00FB3D09" w:rsidP="00822842">
            <w:pPr>
              <w:ind w:right="-288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ANTAL LÅNTAGERE</w:t>
            </w:r>
          </w:p>
          <w:p w14:paraId="414A302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172, 1 og 2, i forordning (EU) nr. 575/2013</w:t>
            </w:r>
          </w:p>
          <w:p w14:paraId="562514B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alle eksponeringsklasser med undtagelse af detail og de tilfælde, der er omhandlet i artikel 172, stk. 1, litra e), andet punktum, i forordning (EU) nr. 575/2013, skal instituttet indberette antallet af juridiske enheder/låntagere, der blev vurderet separat, uanset antallet af forskellige ydede lån eller eksponeringer.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98893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detaileksponeringsklassen, eller hvis den samme låntager henføres til forskellige låntagerklasser i overensstemmelse med artikel 172, stk. 1, litra e), andet punktum, i forordning (EU) nr. 575/2013i andre eksponeringsklasser, skal instituttet indberette antallet af eksponeringer, der separat blev henført til en bestemt ratingklasse eller -pulje.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Hvis artikel 172, stk. 2, i forordning (EU) nr. 575/2013 finder anvendelse, kan en låntager indregnes i flere klasser.</w:t>
            </w:r>
          </w:p>
          <w:p w14:paraId="61D41F6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Da denne kolonne vedrører et element af strukturen af ratingskalaerne, vedrører den de oprindelige eksponeringer før anvendelse af konverteringsfaktoren, som er tildelt hver låntagerklasse eller -pulje uden hensyntagen til virkningen af kreditrisikoreduktionsteknikker (navnlig omfordelingsvirkninger).</w:t>
            </w:r>
          </w:p>
        </w:tc>
      </w:tr>
      <w:tr w:rsidR="00FB3D09" w:rsidRPr="002A677E" w14:paraId="387DE7F0" w14:textId="77777777" w:rsidTr="00822842">
        <w:tc>
          <w:tcPr>
            <w:tcW w:w="1188" w:type="dxa"/>
          </w:tcPr>
          <w:p w14:paraId="30554C29" w14:textId="77777777" w:rsidR="00FB3D09" w:rsidRPr="002A677E" w:rsidRDefault="00FB3D09" w:rsidP="00822842">
            <w:pPr>
              <w:ind w:right="-288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</w:t>
            </w:r>
          </w:p>
        </w:tc>
        <w:tc>
          <w:tcPr>
            <w:tcW w:w="8843" w:type="dxa"/>
          </w:tcPr>
          <w:p w14:paraId="53579B1B" w14:textId="77777777" w:rsidR="00FB3D09" w:rsidRPr="002A677E" w:rsidRDefault="00FB3D09" w:rsidP="00822842">
            <w:pPr>
              <w:ind w:right="-288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RISIKOVÆGTEDE EKSPONERINGER INDEN KREDITDERIVATER</w:t>
            </w:r>
          </w:p>
          <w:p w14:paraId="62E64F52" w14:textId="77777777" w:rsidR="00FB3D09" w:rsidRPr="002A677E" w:rsidRDefault="00FB3D09" w:rsidP="00822842">
            <w:pPr>
              <w:ind w:right="6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indberette den hypotetiske risikovægtede eksponering beregnet som den faktiske RWEA uden indregning af det anerkendte kreditderivat som en CRM-teknik som angivet i artikel 204 i forordning (EU) nr. 575/2013.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Eksponeringerne præsenteres i de eksponeringsklasser, der er relevante for eksponeringer mod den oprindelige låntager.</w:t>
            </w:r>
          </w:p>
        </w:tc>
      </w:tr>
    </w:tbl>
    <w:p w14:paraId="5137B249" w14:textId="77777777" w:rsidR="00FB3D09" w:rsidRPr="002A677E" w:rsidRDefault="00FB3D09" w:rsidP="00FB3D09">
      <w:pPr>
        <w:rPr>
          <w:rFonts w:ascii="Times New Roman" w:hAnsi="Times New Roman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789"/>
      </w:tblGrid>
      <w:tr w:rsidR="00FB3D09" w:rsidRPr="002A677E" w14:paraId="182DA561" w14:textId="77777777" w:rsidTr="00822842">
        <w:tc>
          <w:tcPr>
            <w:tcW w:w="1242" w:type="dxa"/>
            <w:shd w:val="clear" w:color="auto" w:fill="CCCCCC"/>
          </w:tcPr>
          <w:p w14:paraId="60BF7B0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Rækker</w:t>
            </w:r>
          </w:p>
        </w:tc>
        <w:tc>
          <w:tcPr>
            <w:tcW w:w="8789" w:type="dxa"/>
            <w:shd w:val="clear" w:color="auto" w:fill="CCCCCC"/>
          </w:tcPr>
          <w:p w14:paraId="2CDF9396" w14:textId="77777777" w:rsidR="00FB3D09" w:rsidRPr="002A677E" w:rsidRDefault="00FB3D09" w:rsidP="00822842">
            <w:pPr>
              <w:ind w:left="72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262380DA" w14:textId="77777777" w:rsidTr="00822842">
        <w:tc>
          <w:tcPr>
            <w:tcW w:w="1242" w:type="dxa"/>
          </w:tcPr>
          <w:p w14:paraId="2A2E437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789" w:type="dxa"/>
          </w:tcPr>
          <w:p w14:paraId="4BDE31A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SAMLEDE EKSPONERINGER</w:t>
            </w:r>
          </w:p>
        </w:tc>
      </w:tr>
      <w:tr w:rsidR="00FB3D09" w:rsidRPr="002A677E" w14:paraId="510EDBE9" w14:textId="77777777" w:rsidTr="00822842">
        <w:tc>
          <w:tcPr>
            <w:tcW w:w="1242" w:type="dxa"/>
          </w:tcPr>
          <w:p w14:paraId="3B12F2F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0015</w:t>
            </w:r>
          </w:p>
        </w:tc>
        <w:tc>
          <w:tcPr>
            <w:tcW w:w="8789" w:type="dxa"/>
          </w:tcPr>
          <w:p w14:paraId="61003B1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Heraf: Eksponeringer omfattet af støttefaktoren for SMV'er</w:t>
            </w:r>
          </w:p>
          <w:p w14:paraId="60E8764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Kun eksponeringer, som opfylder kravene i artikel 501 i forordning (EU) nr. 575/2013, indberettes her.</w:t>
            </w:r>
          </w:p>
        </w:tc>
      </w:tr>
      <w:tr w:rsidR="00FB3D09" w:rsidRPr="002A677E" w14:paraId="5CCB93AD" w14:textId="77777777" w:rsidTr="00822842">
        <w:tc>
          <w:tcPr>
            <w:tcW w:w="1242" w:type="dxa"/>
          </w:tcPr>
          <w:p w14:paraId="42174A1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0016</w:t>
            </w:r>
          </w:p>
        </w:tc>
        <w:tc>
          <w:tcPr>
            <w:tcW w:w="8789" w:type="dxa"/>
          </w:tcPr>
          <w:p w14:paraId="12833DE3" w14:textId="77777777" w:rsidR="00FB3D09" w:rsidRPr="00891B34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Heraf: Eksponeringer omfattet af støttefaktoren for infrastruktur</w:t>
            </w:r>
          </w:p>
          <w:p w14:paraId="4FE9F0E6" w14:textId="77777777" w:rsidR="00FB3D09" w:rsidRPr="00B7761D" w:rsidRDefault="00FB3D09" w:rsidP="00822842">
            <w:pPr>
              <w:rPr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Kun eksponeringer, som opfylder kravene i artikel 501a i forordning (EU) nr. 575/2013, indberettes her.</w:t>
            </w:r>
          </w:p>
        </w:tc>
      </w:tr>
      <w:tr w:rsidR="005E354B" w:rsidRPr="002A677E" w14:paraId="7311B76A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A309" w14:textId="77777777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659D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beboelsesejendomme – ikke-IPRE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8370D9A" w14:textId="6DCA960A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som er sikret ved beboelsesejendom som defineret i artikel 4, stk. 1, nr. 75d), i forordning (EU) nr. 575/2013, og som tillige er i overensstemmelse med definitionen i artikel 4, stk. 1, nr. 75c), i forordning (EU) nr. 575/2013.</w:t>
            </w:r>
          </w:p>
        </w:tc>
      </w:tr>
      <w:tr w:rsidR="005E354B" w:rsidRPr="002A677E" w14:paraId="7285D5CE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620F" w14:textId="54E0D353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995D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beboelsesejendomme – IPRE</w:t>
            </w:r>
          </w:p>
          <w:p w14:paraId="0DF45C4E" w14:textId="0F60BC77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som er sikret ved beboelsesejendom som defineret i artikel 4, stk. 1, nr. 75d), i forordning (EU) nr. 575/2013, og som tillige er i overensstemmelse med definitionen i artikel 4, stk. 1, nr. 75b), i forordning (EU) nr. 575/2013.</w:t>
            </w:r>
          </w:p>
        </w:tc>
      </w:tr>
      <w:tr w:rsidR="005E354B" w:rsidRPr="002A677E" w14:paraId="5DC7A17D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25E4" w14:textId="6693C4F7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5E97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erhvervsejendomme – ikke-IPRE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6FFC8D0" w14:textId="77777777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som er sikret ved erhvervsejendom som defineret i artikel 4, stk. 1, nr. 75e), i forordning (EU) nr. 575/2013, og som tillige er i overensstemmelse med definitionen i artikel 4, stk. 1, nr. 75c), i forordning (EU) nr. 575/2013.</w:t>
            </w:r>
          </w:p>
        </w:tc>
      </w:tr>
      <w:tr w:rsidR="005E354B" w:rsidRPr="002A677E" w14:paraId="5E0D933C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0EA7" w14:textId="5DEB6BED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F921" w14:textId="77777777" w:rsidR="005E354B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erhvervsejendomme – IPRE</w:t>
            </w:r>
          </w:p>
          <w:p w14:paraId="71978D1D" w14:textId="0B94616B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som er sikret ved erhvervsejendom som defineret i artikel 4, stk. 1, nr. 75e), i forordning (EU) nr. 575/2013, og som tillige er i overensstemmelse med definitionen i artikel 4, stk. 1, nr. 75b), i forordning (EU) nr. 575/2013.</w:t>
            </w:r>
          </w:p>
        </w:tc>
      </w:tr>
      <w:tr w:rsidR="005E354B" w:rsidRPr="002A677E" w14:paraId="2106BE7A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4ED2" w14:textId="58DFC3D7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A8F4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Erhvervelse, udvikling og bebyggelse (ADC)</w:t>
            </w:r>
          </w:p>
          <w:p w14:paraId="35087895" w14:textId="03A7A920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vedrørende erhvervelse af grunde til udviklings- og bebyggelsesformål ("ADC-eksponeringer") som defineret i artikel 4, stk. 1, nr. 78a), i forordning (EU) nr. 575/2013.</w:t>
            </w:r>
          </w:p>
        </w:tc>
      </w:tr>
      <w:tr w:rsidR="00FB3D09" w:rsidRPr="002A677E" w14:paraId="14B5922C" w14:textId="77777777" w:rsidTr="00822842">
        <w:tc>
          <w:tcPr>
            <w:tcW w:w="1242" w:type="dxa"/>
          </w:tcPr>
          <w:p w14:paraId="50BD948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0020-0060</w:t>
            </w:r>
          </w:p>
        </w:tc>
        <w:tc>
          <w:tcPr>
            <w:tcW w:w="8789" w:type="dxa"/>
          </w:tcPr>
          <w:p w14:paraId="13F7639F" w14:textId="77777777" w:rsidR="00FB3D09" w:rsidRPr="00B7761D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OPDELING AF SAMLEDE EKSPONERINGER EFTER EKSPONERINGSTYPE:</w:t>
            </w:r>
          </w:p>
        </w:tc>
      </w:tr>
      <w:tr w:rsidR="00FB3D09" w:rsidRPr="002A677E" w14:paraId="709208F4" w14:textId="77777777" w:rsidTr="00822842">
        <w:tc>
          <w:tcPr>
            <w:tcW w:w="1242" w:type="dxa"/>
          </w:tcPr>
          <w:p w14:paraId="14B5596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789" w:type="dxa"/>
          </w:tcPr>
          <w:p w14:paraId="0C34BAB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Balanceførte poster underlagt kreditrisiko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DEAB0BA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Aktiver nævnt i artikel 24 i forordning (EU) nr. 575/2013 inkluderes ikke i andre kategorier.</w:t>
            </w:r>
          </w:p>
          <w:p w14:paraId="0F8AB1A8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Eksponeringer, der er omfattet af modpartsrisiko, indberettes i række 0040-0060 — og indberettes derfor ikke i denne række.</w:t>
            </w:r>
          </w:p>
          <w:p w14:paraId="3D5E954A" w14:textId="180041B5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Leveringsrisiko (free deliveries) i henhold til artikel 379, stk. 1, i forordning (EU) nr. 575/2013 (hvis ikke fratrukket) udgør ikke en balanceført post, men skal alligevel indberettes i denne række.</w:t>
            </w:r>
          </w:p>
        </w:tc>
      </w:tr>
      <w:tr w:rsidR="00FB3D09" w:rsidRPr="002A677E" w14:paraId="3FC1F87B" w14:textId="77777777" w:rsidTr="00822842">
        <w:tc>
          <w:tcPr>
            <w:tcW w:w="1242" w:type="dxa"/>
          </w:tcPr>
          <w:p w14:paraId="2D6E670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789" w:type="dxa"/>
          </w:tcPr>
          <w:p w14:paraId="7F72A6F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Ikkebalanceførte poster underlagt kreditrisiko</w:t>
            </w:r>
          </w:p>
          <w:p w14:paraId="6C7D545C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Ikkebalanceførte poster omfatter poster i overensstemmelse med artikel 166, stk. 8, i forordning (EU) nr. 575/2013 samt de poster, der er opført i bilag I til nævnte forordning.</w:t>
            </w:r>
          </w:p>
          <w:p w14:paraId="4AE7F57F" w14:textId="266D9AC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Eksponeringer, der er omfattet af modpartsrisiko, indberettes i række 0040-0060 — og indberettes derfor ikke i denne række.</w:t>
            </w:r>
          </w:p>
        </w:tc>
      </w:tr>
      <w:tr w:rsidR="00FB3D09" w:rsidRPr="002A677E" w14:paraId="6A82A5B3" w14:textId="77777777" w:rsidTr="00822842">
        <w:tc>
          <w:tcPr>
            <w:tcW w:w="1242" w:type="dxa"/>
          </w:tcPr>
          <w:p w14:paraId="0F665D6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0040-0060</w:t>
            </w:r>
          </w:p>
        </w:tc>
        <w:tc>
          <w:tcPr>
            <w:tcW w:w="8789" w:type="dxa"/>
          </w:tcPr>
          <w:p w14:paraId="65190BC8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Eksponeringer/transaktioner underlagt modpartsrisiko</w:t>
            </w:r>
          </w:p>
          <w:p w14:paraId="0CE5E4A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de tilsvarende instrukser til CR SA i række 0090-0130.</w:t>
            </w:r>
          </w:p>
        </w:tc>
      </w:tr>
      <w:tr w:rsidR="00FB3D09" w:rsidRPr="002A677E" w14:paraId="4836D530" w14:textId="77777777" w:rsidTr="00822842">
        <w:tc>
          <w:tcPr>
            <w:tcW w:w="1242" w:type="dxa"/>
          </w:tcPr>
          <w:p w14:paraId="311BB09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789" w:type="dxa"/>
          </w:tcPr>
          <w:p w14:paraId="0E52BEFE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Nettinggrupper for værdipapirfinansieringstransaktioner</w:t>
            </w:r>
          </w:p>
          <w:p w14:paraId="1D8D13A1" w14:textId="4C7B9569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de tilsvarende instrukser til CR SA i række 0090.</w:t>
            </w:r>
          </w:p>
        </w:tc>
      </w:tr>
      <w:tr w:rsidR="00FB3D09" w:rsidRPr="002A677E" w14:paraId="1E4C52D2" w14:textId="77777777" w:rsidTr="00822842">
        <w:tc>
          <w:tcPr>
            <w:tcW w:w="1242" w:type="dxa"/>
          </w:tcPr>
          <w:p w14:paraId="7A9D7A2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789" w:type="dxa"/>
          </w:tcPr>
          <w:p w14:paraId="0663798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Nettinggrupper for derivater og terminsforretninger</w:t>
            </w:r>
          </w:p>
          <w:p w14:paraId="2C85A65F" w14:textId="5742CCE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de tilsvarende instrukser til CR SA i række 0110.</w:t>
            </w:r>
          </w:p>
        </w:tc>
      </w:tr>
      <w:tr w:rsidR="00FB3D09" w:rsidRPr="002A677E" w14:paraId="325075B4" w14:textId="77777777" w:rsidTr="00822842">
        <w:tc>
          <w:tcPr>
            <w:tcW w:w="1242" w:type="dxa"/>
          </w:tcPr>
          <w:p w14:paraId="711200A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789" w:type="dxa"/>
          </w:tcPr>
          <w:p w14:paraId="5AAEFF1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Fra aftaler om nettinggrupper på tværs af produkter</w:t>
            </w:r>
          </w:p>
          <w:p w14:paraId="067E31F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de tilsvarende instrukser til CR SA i række 0130.</w:t>
            </w:r>
          </w:p>
        </w:tc>
      </w:tr>
      <w:tr w:rsidR="00FB3D09" w:rsidRPr="002A677E" w14:paraId="4497C028" w14:textId="77777777" w:rsidTr="00822842">
        <w:tc>
          <w:tcPr>
            <w:tcW w:w="1242" w:type="dxa"/>
          </w:tcPr>
          <w:p w14:paraId="53C0361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789" w:type="dxa"/>
          </w:tcPr>
          <w:p w14:paraId="0FE8A11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EKSPONERINGER TILDELT LÅNTAGERKLASSER ELLER -PULJER: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 ALT</w:t>
            </w:r>
          </w:p>
          <w:p w14:paraId="6A78F62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så vidt angår eksponeringer mod selskaber, institutter samt centralregeringer og centralbanker, se artikel 142, stk. 1, nr. 6), og artikel 170, stk. 1, litra c),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D88073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så vidt angår detaileksponeringer, se artikel 170, stk. 3, litra b),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 så vidt angår eksponeringer, der opstår som følge af erhvervede fordringer, se artikel 166, stk. 6,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68A9D8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mod udvandingsrisiko for erhvervede fordringer indberettes ikke efter låntagerklasser eller -puljer og indberettes i række 0180.</w:t>
            </w:r>
          </w:p>
          <w:p w14:paraId="2ECA333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Hvis instituttet anvender mange klasser eller puljer, kan der indberettes et lavere antal klasser eller puljer efter aftale med de kompetente myndigheder.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E1C73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 anvendes ikke en masterskala for tilsyn.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Institutterne vælger selv den skala, de vil anvende.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1A5B7F57" w14:textId="77777777" w:rsidTr="00822842">
        <w:tc>
          <w:tcPr>
            <w:tcW w:w="1242" w:type="dxa"/>
          </w:tcPr>
          <w:p w14:paraId="0CB3AAC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789" w:type="dxa"/>
          </w:tcPr>
          <w:p w14:paraId="63AC665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KATEGORISERINGSMETODEN FOR SPECIALISERET LÅNGIVNING: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 ALT</w:t>
            </w:r>
          </w:p>
          <w:p w14:paraId="67E0139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153, stk. 5, i forordning (EU) nr.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Dette gælder kun for eksponeringsklassen for selskaber - specialiseret långivning.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56D99296" w14:textId="77777777" w:rsidTr="00822842">
        <w:tc>
          <w:tcPr>
            <w:tcW w:w="1242" w:type="dxa"/>
          </w:tcPr>
          <w:p w14:paraId="4330E20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789" w:type="dxa"/>
          </w:tcPr>
          <w:p w14:paraId="455C13F0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ALTERNATIV BEHANDLING: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FAST EJENDOM</w:t>
            </w:r>
          </w:p>
          <w:p w14:paraId="7875BF8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193, stk. 1 og 2, artikel 194, stk. 1 til 7, og artikel 230, stk. 3, i forordning (EU) nr. 575/2013</w:t>
            </w:r>
          </w:p>
          <w:p w14:paraId="5841294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Dette alternativ er kun tilgængeligt for institutter, der anvender den grundlæggende IRB-metode.</w:t>
            </w:r>
          </w:p>
        </w:tc>
      </w:tr>
      <w:tr w:rsidR="00FB3D09" w:rsidRPr="002A677E" w14:paraId="65DA4F0E" w14:textId="77777777" w:rsidTr="00822842">
        <w:tc>
          <w:tcPr>
            <w:tcW w:w="1242" w:type="dxa"/>
          </w:tcPr>
          <w:p w14:paraId="73D95FC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789" w:type="dxa"/>
          </w:tcPr>
          <w:p w14:paraId="753B5217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SOM FØLGE AF LEVERINGSRISIKO (FREE DELIVERIES) UNDERLAGT RISIKOVÆGTE I HENHOLD TIL ALTERNATIV BEHANDLING, RISIKOVÆGTE PÅ 100 % OG ANDRE EKSPONERINGER UNDERLAGT RISIKOVÆGTE</w:t>
            </w:r>
          </w:p>
          <w:p w14:paraId="7FC93A9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der opstår som følge af leveringsrisiko (free deliveries), der er underlagt den alternative behandling, som er omhandlet i artikel 379, stk. 2, første afsnit, sidste punktum, i forordning (EU) nr. 575/2013, eller som pålægges en risikovægt på 100 % i henhold til artikel 379, stk. 2, sidste afsnit,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Ikke-ratede "nth to default"-kreditderivater, jf. artikel 153, stk. 8, i forordning (EU) nr. 575/2013, og anden eksponering omfattet af risikovægte, som ikke er anført i en anden række, indberettes i denne række.</w:t>
            </w:r>
          </w:p>
        </w:tc>
      </w:tr>
      <w:tr w:rsidR="00FB3D09" w:rsidRPr="002A677E" w14:paraId="645730D7" w14:textId="77777777" w:rsidTr="00822842">
        <w:tc>
          <w:tcPr>
            <w:tcW w:w="1242" w:type="dxa"/>
          </w:tcPr>
          <w:p w14:paraId="0317CAF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789" w:type="dxa"/>
          </w:tcPr>
          <w:p w14:paraId="42D146E2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UDVANDINGSRISIKO: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ERHVERVEDE FORDRINGER I ALT</w:t>
            </w:r>
          </w:p>
          <w:p w14:paraId="1ADE7C67" w14:textId="5F3B1E00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artikel 4, stk. 1, nr. 53), i forordning (EU) nr. 575/2013 for en definition af udvandingsrisiko.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 så vidt angår beregning af risikovægtede eksponeringer for udvandingsrisiko, se artikel 157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Udvandingsrisici indberettes for erhvervede erhvervsfordringer og detailfordringer.</w:t>
            </w:r>
          </w:p>
        </w:tc>
      </w:tr>
      <w:tr w:rsidR="00FB3D09" w:rsidRPr="002A677E" w14:paraId="2103336C" w14:textId="77777777" w:rsidTr="00822842">
        <w:trPr>
          <w:trHeight w:val="300"/>
        </w:trPr>
        <w:tc>
          <w:tcPr>
            <w:tcW w:w="1242" w:type="dxa"/>
          </w:tcPr>
          <w:p w14:paraId="7FF9957F" w14:textId="06F9FE7A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0190-0210</w:t>
            </w:r>
          </w:p>
        </w:tc>
        <w:tc>
          <w:tcPr>
            <w:tcW w:w="8789" w:type="dxa"/>
          </w:tcPr>
          <w:p w14:paraId="24E930D5" w14:textId="57FAC10C" w:rsidR="00FB3D09" w:rsidRPr="00B75318" w:rsidRDefault="00FB3D09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OPDELING AF SAMLEDE EKSPONERINGER EFTER METODE (CIU):</w:t>
            </w:r>
          </w:p>
        </w:tc>
      </w:tr>
      <w:tr w:rsidR="00FB3D09" w:rsidRPr="002A677E" w14:paraId="62E31418" w14:textId="77777777" w:rsidTr="00822842">
        <w:trPr>
          <w:trHeight w:val="300"/>
        </w:trPr>
        <w:tc>
          <w:tcPr>
            <w:tcW w:w="1242" w:type="dxa"/>
          </w:tcPr>
          <w:p w14:paraId="12D87A1F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789" w:type="dxa"/>
          </w:tcPr>
          <w:p w14:paraId="15D1C078" w14:textId="3090FC4B" w:rsidR="00FB3D09" w:rsidRPr="00B75318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Transparensmetoden</w:t>
            </w:r>
          </w:p>
          <w:p w14:paraId="2AD180D4" w14:textId="3719286C" w:rsidR="00FB3D09" w:rsidRPr="00B75318" w:rsidRDefault="00FB3D09" w:rsidP="00822842">
            <w:pPr>
              <w:spacing w:after="160" w:line="257" w:lineRule="auto"/>
              <w:rPr>
                <w:color w:val="000000" w:themeColor="text1"/>
                <w:sz w:val="24"/>
                <w:rFonts w:ascii="Times New Roman" w:eastAsia="Calibri" w:hAnsi="Times New Roman"/>
              </w:rPr>
            </w:pP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Artikel 152, stk. 1, i forordning (EU) nr. 575/2013</w:t>
            </w:r>
          </w:p>
          <w:p w14:paraId="42481890" w14:textId="79FAD87D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række skal indberettes for eksponeringsklassen "CIU'er" og i "I alt"-arket.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Derudover skal den indberettes som en memorandumpost i de øvrige IRB-eksponeringsklasser, da de underliggende eksponeringer skal klassificeres efter den pågældende eksponeringsklasse, hvis der er anvendt en IRB-metode.</w:t>
            </w:r>
          </w:p>
        </w:tc>
      </w:tr>
      <w:tr w:rsidR="00FB3D09" w:rsidRPr="002A677E" w14:paraId="66E7EEA8" w14:textId="77777777" w:rsidTr="00822842">
        <w:trPr>
          <w:trHeight w:val="300"/>
        </w:trPr>
        <w:tc>
          <w:tcPr>
            <w:tcW w:w="1242" w:type="dxa"/>
          </w:tcPr>
          <w:p w14:paraId="3C86B702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789" w:type="dxa"/>
          </w:tcPr>
          <w:p w14:paraId="17279CD9" w14:textId="57707F46" w:rsidR="00FB3D09" w:rsidRPr="00B75318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Mandatmetoden</w:t>
            </w:r>
          </w:p>
          <w:p w14:paraId="65B8F17E" w14:textId="77777777" w:rsidR="00FB3D09" w:rsidRPr="00B75318" w:rsidRDefault="00FB3D09" w:rsidP="00822842">
            <w:pPr>
              <w:spacing w:after="160" w:line="257" w:lineRule="auto"/>
              <w:rPr>
                <w:color w:val="000000" w:themeColor="text1"/>
                <w:sz w:val="24"/>
                <w:rFonts w:ascii="Times New Roman" w:eastAsia="Calibri" w:hAnsi="Times New Roman"/>
              </w:rPr>
            </w:pP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Artikel 152, stk. 5, i forordning (EU) nr. 575/2013</w:t>
            </w:r>
          </w:p>
          <w:p w14:paraId="0315659D" w14:textId="271145EC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række skal kun indberettes for eksponeringsklassen "CIU'er" og i "I alt"-arket.</w:t>
            </w:r>
          </w:p>
        </w:tc>
      </w:tr>
      <w:tr w:rsidR="00FB3D09" w:rsidRPr="002A677E" w14:paraId="1E5A599B" w14:textId="77777777" w:rsidTr="00822842">
        <w:trPr>
          <w:trHeight w:val="300"/>
        </w:trPr>
        <w:tc>
          <w:tcPr>
            <w:tcW w:w="1242" w:type="dxa"/>
          </w:tcPr>
          <w:p w14:paraId="6ABB8CD4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789" w:type="dxa"/>
          </w:tcPr>
          <w:p w14:paraId="3816A424" w14:textId="13F62D85" w:rsidR="00FB3D09" w:rsidRPr="00B75318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Fallbackmetoden</w:t>
            </w:r>
          </w:p>
          <w:p w14:paraId="57A3CDF9" w14:textId="77777777" w:rsidR="00FB3D09" w:rsidRPr="00B75318" w:rsidRDefault="00FB3D09" w:rsidP="00822842">
            <w:pPr>
              <w:spacing w:after="160" w:line="257" w:lineRule="auto"/>
              <w:rPr>
                <w:color w:val="000000" w:themeColor="text1"/>
                <w:sz w:val="24"/>
                <w:rFonts w:ascii="Times New Roman" w:eastAsia="Calibri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Artikel 152, stk. 6, i forordning (EU) nr. 575/2013</w:t>
            </w:r>
          </w:p>
          <w:p w14:paraId="42219B94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række skal kun indberettes for eksponeringsklassen "CIU'er" og i "I alt"-arket.</w:t>
            </w:r>
          </w:p>
        </w:tc>
      </w:tr>
    </w:tbl>
    <w:p w14:paraId="0B2C44D0" w14:textId="77777777" w:rsidR="00FB3D09" w:rsidRPr="002A677E" w:rsidRDefault="00FB3D09" w:rsidP="00FB3D09">
      <w:pPr>
        <w:autoSpaceDE w:val="0"/>
        <w:autoSpaceDN w:val="0"/>
        <w:adjustRightInd w:val="0"/>
        <w:spacing w:before="0" w:after="0"/>
        <w:ind w:left="284"/>
        <w:jc w:val="left"/>
        <w:rPr>
          <w:sz w:val="24"/>
          <w:rFonts w:ascii="Times New Roman" w:hAnsi="Times New Roman"/>
        </w:rPr>
      </w:pPr>
      <w:bookmarkStart w:id="21" w:name="_Toc120327823"/>
      <w:bookmarkStart w:id="22" w:name="_Toc120072325"/>
      <w:bookmarkStart w:id="23" w:name="_Toc294280272"/>
      <w:bookmarkStart w:id="24" w:name="_Toc294281597"/>
      <w:bookmarkStart w:id="25" w:name="_Toc294281817"/>
      <w:bookmarkStart w:id="26" w:name="_Toc294282031"/>
      <w:bookmarkStart w:id="27" w:name="_Toc294282234"/>
      <w:bookmarkStart w:id="28" w:name="_Toc294714169"/>
      <w:bookmarkStart w:id="29" w:name="_Toc295314195"/>
      <w:bookmarkStart w:id="30" w:name="_Toc295829584"/>
      <w:bookmarkStart w:id="31" w:name="_Toc295829867"/>
      <w:bookmarkStart w:id="32" w:name="_Toc301772755"/>
      <w:bookmarkStart w:id="33" w:name="_Toc301772833"/>
      <w:bookmarkStart w:id="34" w:name="_Toc302657772"/>
      <w:bookmarkStart w:id="35" w:name="_Toc302657891"/>
      <w:bookmarkStart w:id="36" w:name="_Toc294280294"/>
      <w:bookmarkStart w:id="37" w:name="_Toc294281619"/>
      <w:bookmarkStart w:id="38" w:name="_Toc294281839"/>
      <w:bookmarkStart w:id="39" w:name="_Toc294282053"/>
      <w:bookmarkStart w:id="40" w:name="_Toc294282256"/>
      <w:bookmarkStart w:id="41" w:name="_Toc294714191"/>
      <w:bookmarkStart w:id="42" w:name="_Toc295314217"/>
      <w:bookmarkStart w:id="43" w:name="_Toc295829606"/>
      <w:bookmarkStart w:id="44" w:name="_Toc295829889"/>
      <w:bookmarkStart w:id="45" w:name="_Toc301772777"/>
      <w:bookmarkStart w:id="46" w:name="_Toc301772855"/>
      <w:bookmarkStart w:id="47" w:name="_Toc302657794"/>
      <w:bookmarkStart w:id="48" w:name="_Toc302657913"/>
      <w:bookmarkStart w:id="49" w:name="_Toc294280312"/>
      <w:bookmarkStart w:id="50" w:name="_Toc294281637"/>
      <w:bookmarkStart w:id="51" w:name="_Toc294281857"/>
      <w:bookmarkStart w:id="52" w:name="_Toc294282071"/>
      <w:bookmarkStart w:id="53" w:name="_Toc294282274"/>
      <w:bookmarkStart w:id="54" w:name="_Toc294714209"/>
      <w:bookmarkStart w:id="55" w:name="_Toc295314235"/>
      <w:bookmarkStart w:id="56" w:name="_Toc295829624"/>
      <w:bookmarkStart w:id="57" w:name="_Toc295829907"/>
      <w:bookmarkStart w:id="58" w:name="_Toc301772795"/>
      <w:bookmarkStart w:id="59" w:name="_Toc301772873"/>
      <w:bookmarkStart w:id="60" w:name="_Toc302657812"/>
      <w:bookmarkStart w:id="61" w:name="_Toc302657931"/>
      <w:bookmarkStart w:id="62" w:name="_Toc294280316"/>
      <w:bookmarkStart w:id="63" w:name="_Toc294281641"/>
      <w:bookmarkStart w:id="64" w:name="_Toc294281861"/>
      <w:bookmarkStart w:id="65" w:name="_Toc294282075"/>
      <w:bookmarkStart w:id="66" w:name="_Toc294282278"/>
      <w:bookmarkStart w:id="67" w:name="_Toc294714213"/>
      <w:bookmarkStart w:id="68" w:name="_Toc295314239"/>
      <w:bookmarkStart w:id="69" w:name="_Toc295829628"/>
      <w:bookmarkStart w:id="70" w:name="_Toc295829911"/>
      <w:bookmarkStart w:id="71" w:name="_Toc301772799"/>
      <w:bookmarkStart w:id="72" w:name="_Toc301772877"/>
      <w:bookmarkStart w:id="73" w:name="_Toc302657816"/>
      <w:bookmarkStart w:id="74" w:name="_Toc302657935"/>
      <w:bookmarkStart w:id="75" w:name="_Toc294280319"/>
      <w:bookmarkStart w:id="76" w:name="_Toc294281644"/>
      <w:bookmarkStart w:id="77" w:name="_Toc294281864"/>
      <w:bookmarkStart w:id="78" w:name="_Toc294282078"/>
      <w:bookmarkStart w:id="79" w:name="_Toc294282281"/>
      <w:bookmarkStart w:id="80" w:name="_Toc294714216"/>
      <w:bookmarkStart w:id="81" w:name="_Toc295314242"/>
      <w:bookmarkStart w:id="82" w:name="_Toc295829631"/>
      <w:bookmarkStart w:id="83" w:name="_Toc295829914"/>
      <w:bookmarkStart w:id="84" w:name="_Toc301772802"/>
      <w:bookmarkStart w:id="85" w:name="_Toc301772880"/>
      <w:bookmarkStart w:id="86" w:name="_Toc302657819"/>
      <w:bookmarkStart w:id="87" w:name="_Toc302657938"/>
      <w:bookmarkStart w:id="88" w:name="_Toc294280322"/>
      <w:bookmarkStart w:id="89" w:name="_Toc294281647"/>
      <w:bookmarkStart w:id="90" w:name="_Toc294281867"/>
      <w:bookmarkStart w:id="91" w:name="_Toc294282081"/>
      <w:bookmarkStart w:id="92" w:name="_Toc294282284"/>
      <w:bookmarkStart w:id="93" w:name="_Toc294714219"/>
      <w:bookmarkStart w:id="94" w:name="_Toc295314245"/>
      <w:bookmarkStart w:id="95" w:name="_Toc295829634"/>
      <w:bookmarkStart w:id="96" w:name="_Toc295829917"/>
      <w:bookmarkStart w:id="97" w:name="_Toc301772805"/>
      <w:bookmarkStart w:id="98" w:name="_Toc301772883"/>
      <w:bookmarkStart w:id="99" w:name="_Toc302657822"/>
      <w:bookmarkStart w:id="100" w:name="_Toc302657941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3C588733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1" w:name="_Toc473560911"/>
      <w:bookmarkStart w:id="102" w:name="_Toc151714398"/>
      <w:r>
        <w:rPr>
          <w:sz w:val="24"/>
          <w:u w:val="none"/>
          <w:rFonts w:ascii="Times New Roman" w:hAnsi="Times New Roman"/>
        </w:rPr>
        <w:t xml:space="preserve">3.3.4.</w:t>
      </w:r>
      <w:r>
        <w:tab/>
      </w:r>
      <w:r>
        <w:rPr>
          <w:sz w:val="24"/>
          <w:rFonts w:ascii="Times New Roman" w:hAnsi="Times New Roman"/>
        </w:rPr>
        <w:t xml:space="preserve">C 08.02 — Kreditrisiko, modpartsrisiko og leveringsrisiko (free deliveries):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Kapitalkrav opgjort efter IRB-metoden: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opdeling efter låntagerklasser eller -puljer (CR IRB 2-skemaet)</w:t>
      </w:r>
      <w:bookmarkEnd w:id="101"/>
      <w:bookmarkEnd w:id="10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7804"/>
      </w:tblGrid>
      <w:tr w:rsidR="00FB3D09" w:rsidRPr="002A677E" w14:paraId="56EC6AC2" w14:textId="77777777" w:rsidTr="00822842">
        <w:tc>
          <w:tcPr>
            <w:tcW w:w="2024" w:type="dxa"/>
            <w:shd w:val="clear" w:color="auto" w:fill="BFBFBF"/>
          </w:tcPr>
          <w:p w14:paraId="2B478CB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</w:t>
            </w:r>
          </w:p>
        </w:tc>
        <w:tc>
          <w:tcPr>
            <w:tcW w:w="7804" w:type="dxa"/>
            <w:shd w:val="clear" w:color="auto" w:fill="BFBFBF"/>
          </w:tcPr>
          <w:p w14:paraId="72EF06F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76358864" w14:textId="77777777" w:rsidTr="00822842">
        <w:tc>
          <w:tcPr>
            <w:tcW w:w="2024" w:type="dxa"/>
          </w:tcPr>
          <w:p w14:paraId="46C873B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7804" w:type="dxa"/>
          </w:tcPr>
          <w:p w14:paraId="130BE1C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Låntagerklasse (ID-kode for rækken)</w:t>
            </w:r>
          </w:p>
          <w:p w14:paraId="49E1BF9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Dette er en ID-kode for rækken, og den skal være unik for hver enkelt række i et bestemt ark i skemaet.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skal være i nummerorden (1, 2, 3 osv.).</w:t>
            </w:r>
          </w:p>
          <w:p w14:paraId="748039C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første klasse (eller pulje), der skal indberettes, er den bedste, så kommer den næstbedste osv.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eller de sidste indberettede klasser (eller puljer) skal være for misligholdte eksponeringer.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2E9E255A" w14:textId="77777777" w:rsidTr="00822842">
        <w:tc>
          <w:tcPr>
            <w:tcW w:w="2024" w:type="dxa"/>
          </w:tcPr>
          <w:p w14:paraId="7EBE635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0010-0300</w:t>
            </w:r>
          </w:p>
        </w:tc>
        <w:tc>
          <w:tcPr>
            <w:tcW w:w="7804" w:type="dxa"/>
          </w:tcPr>
          <w:p w14:paraId="68F5893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Instrukserne til hver af disse kolonner er de samme som for de tilsvarende nummererede kolonner i CR IRB 1-skemaet.</w:t>
            </w:r>
          </w:p>
        </w:tc>
      </w:tr>
    </w:tbl>
    <w:p w14:paraId="040BB8C7" w14:textId="77777777" w:rsidR="00FB3D09" w:rsidRPr="002A677E" w:rsidRDefault="00FB3D09" w:rsidP="00FB3D09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7804"/>
      </w:tblGrid>
      <w:tr w:rsidR="00FB3D09" w:rsidRPr="002A677E" w14:paraId="767C7154" w14:textId="77777777" w:rsidTr="00822842">
        <w:tc>
          <w:tcPr>
            <w:tcW w:w="2024" w:type="dxa"/>
            <w:shd w:val="pct25" w:color="auto" w:fill="auto"/>
          </w:tcPr>
          <w:p w14:paraId="50BC5D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</w:t>
            </w:r>
          </w:p>
        </w:tc>
        <w:tc>
          <w:tcPr>
            <w:tcW w:w="7804" w:type="dxa"/>
            <w:shd w:val="pct25" w:color="auto" w:fill="auto"/>
          </w:tcPr>
          <w:p w14:paraId="656BDFF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4253B5F0" w14:textId="77777777" w:rsidTr="00822842">
        <w:tc>
          <w:tcPr>
            <w:tcW w:w="2024" w:type="dxa"/>
          </w:tcPr>
          <w:p w14:paraId="1F1498D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0010-0001 — 0010-NNNN</w:t>
            </w:r>
          </w:p>
        </w:tc>
        <w:tc>
          <w:tcPr>
            <w:tcW w:w="7804" w:type="dxa"/>
          </w:tcPr>
          <w:p w14:paraId="7438CE6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Værdier, der indberettes i disse rækker, skal opstilles i den rækkefølge, der svarer til den PD, der er tildelt hver låntagerklasse eller -pulje.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PD udgør 100 % for låntagere, der er i restance.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Eksponeringer, der er underlagt alternativ behandling med hensyn til sikkerhed i fast ejendom (kun tilgængelig, når egne estimater ikke anvendes for LGD), tildeles ikke efter PD for låntageren og indberettes ikke i dette skema.</w:t>
            </w:r>
          </w:p>
        </w:tc>
      </w:tr>
    </w:tbl>
    <w:p w14:paraId="207794BA" w14:textId="77777777" w:rsidR="00FB3D09" w:rsidRPr="002A677E" w:rsidRDefault="00FB3D09" w:rsidP="00FB3D09">
      <w:pPr>
        <w:pStyle w:val="InstructionsText"/>
      </w:pPr>
    </w:p>
    <w:p w14:paraId="26916390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03" w:name="_Toc19715755"/>
      <w:bookmarkStart w:id="104" w:name="_Toc151714399"/>
      <w:r>
        <w:rPr>
          <w:sz w:val="24"/>
          <w:rFonts w:ascii="Times New Roman" w:hAnsi="Times New Roman"/>
        </w:rPr>
        <w:t xml:space="preserve">C 08.03 – Kreditrisiko og leveringsrisici (free deliveries):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Kapitalkrav opgjort efter IRB-metoden (opdeling efter PD-intervaller (CR IRB 3))</w:t>
      </w:r>
      <w:bookmarkEnd w:id="103"/>
      <w:bookmarkEnd w:id="104"/>
    </w:p>
    <w:p w14:paraId="32A5436F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rPr>
          <w:sz w:val="24"/>
          <w:rFonts w:ascii="Times New Roman" w:hAnsi="Times New Roman" w:cs="Times New Roman"/>
        </w:rPr>
      </w:pPr>
      <w:bookmarkStart w:id="105" w:name="_Toc19715756"/>
      <w:bookmarkStart w:id="106" w:name="_Toc151714400"/>
      <w:r>
        <w:rPr>
          <w:sz w:val="24"/>
          <w:rFonts w:ascii="Times New Roman" w:hAnsi="Times New Roman"/>
        </w:rPr>
        <w:t xml:space="preserve">Generelle bemærkninger</w:t>
      </w:r>
      <w:bookmarkEnd w:id="105"/>
      <w:bookmarkEnd w:id="106"/>
    </w:p>
    <w:p w14:paraId="0918D50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77</w:t>
      </w:r>
      <w:r>
        <w:fldChar w:fldCharType="end"/>
      </w:r>
      <w:r>
        <w:t xml:space="preserve">.</w:t>
      </w:r>
      <w:r>
        <w:t xml:space="preserve"> </w:t>
      </w:r>
      <w:r>
        <w:t xml:space="preserve">Institutterne skal indberette oplysningerne i dette skema i overensstemmelse med artikel 452, litra g), nr. i)-v), i forordning (EU) nr. 575/2013 for at give oplysninger om de vigtigste parametre, der anvendes til beregningen af kapitalkrav i forbindelse med IRB-metoden.</w:t>
      </w:r>
      <w:r>
        <w:t xml:space="preserve"> </w:t>
      </w:r>
      <w:r>
        <w:t xml:space="preserve">De oplysninger, der indberettes i dette skema, omfatter ikke data om specialiseret långivning, jf. artikel 153, stk. 5, i forordning (EU) nr. 575/2013, som indgår i skema C 08.06.</w:t>
      </w:r>
      <w:r>
        <w:t xml:space="preserve"> </w:t>
      </w:r>
      <w:r>
        <w:t xml:space="preserve">Dette skema omfatter ikke modpartsrisikoeksponeringer (tredje del, afsnit II, kapitel 6, i forordning (EU) nr. 575/2013).</w:t>
      </w:r>
    </w:p>
    <w:p w14:paraId="18B1A0B3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07" w:name="_Toc19715757"/>
      <w:bookmarkStart w:id="108" w:name="_Toc151714401"/>
      <w:r>
        <w:rPr>
          <w:sz w:val="24"/>
          <w:rFonts w:ascii="Times New Roman" w:hAnsi="Times New Roman"/>
        </w:rPr>
        <w:t xml:space="preserve">Instrukser vedrørende specifikke positioner</w:t>
      </w:r>
      <w:bookmarkEnd w:id="107"/>
      <w:bookmarkEnd w:id="108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1A83A24A" w14:textId="77777777" w:rsidTr="00822842">
        <w:tc>
          <w:tcPr>
            <w:tcW w:w="1188" w:type="dxa"/>
            <w:shd w:val="clear" w:color="auto" w:fill="CCCCCC"/>
          </w:tcPr>
          <w:p w14:paraId="716EB21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Kolonner</w:t>
            </w:r>
          </w:p>
        </w:tc>
        <w:tc>
          <w:tcPr>
            <w:tcW w:w="8843" w:type="dxa"/>
            <w:shd w:val="clear" w:color="auto" w:fill="CCCCCC"/>
          </w:tcPr>
          <w:p w14:paraId="3EB4007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71C99AF9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B36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  <w:p w14:paraId="5AF0F519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A92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BALANCEFØRTE EKSPONERINGER</w:t>
            </w:r>
          </w:p>
          <w:p w14:paraId="00204A2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Eksponeringsværdi beregnet i henhold til artikel 166, stk. 1-7, i forordning (EU) nr. 575/2013</w:t>
            </w:r>
            <w: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uden hensyntagen til eventuelle kreditrisikojusteringer</w:t>
            </w:r>
          </w:p>
        </w:tc>
      </w:tr>
      <w:tr w:rsidR="00FB3D09" w:rsidRPr="002A677E" w14:paraId="22B6384B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365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1C2B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IKKEBALANCEFØRTE EKSPONERINGER FØR ANVENDELSE AF KONVERTERINGSFAKTORER</w:t>
            </w:r>
          </w:p>
          <w:p w14:paraId="55489989" w14:textId="483DFDC9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Eksponeringsværdien i overensstemmelse med artikel 166, stk. 1-7, i forordning (EU) nr. 575/2013, uden hensyntagen til eventuelle kreditrisikojusteringer og konverteringsfaktorer, og heller ikke til egne estimater eller konverteringsfaktorer som anført i artikel 166, stk. 8, i forordning (EU) nr. 575/2013.</w:t>
            </w:r>
          </w:p>
          <w:p w14:paraId="5D37048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Ikkebalanceførte eksponeringer omfatter alle forpligtede, men ikketrukne beløb og alle ikkebalanceførte poster som anført i bilag I til forordning (EU) nr. 575/2013.</w:t>
            </w:r>
          </w:p>
        </w:tc>
      </w:tr>
      <w:tr w:rsidR="00FB3D09" w:rsidRPr="002A677E" w14:paraId="5AAD700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490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325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EKSPONERINGSVÆGTEDE GENNEMSNITLIGE KONVERTERINGSFAKTORER</w:t>
            </w:r>
          </w:p>
          <w:p w14:paraId="69C8E2B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alle eksponeringer, der indgår i hver undergruppe af det fastsatte PD-interval, den gennemsnitlige konverteringsfaktor, der anvendes af institutterne i deres beregning af risikovægtede eksponeringer. vægtet med den ikkebalanceførte eksponering før anvendelse af konverteringsfaktorer som indberettet i kolonne 0020.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30332FF7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7A3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02FE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EKSPONERINGER EFTER KONVERTERINGSFAKTORER OG EFTER KREDITRISIKOREDUKTIONSTEKNIKKER</w:t>
            </w:r>
          </w:p>
          <w:p w14:paraId="416A72E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Eksponeringsværdi i overensstemmelse med artikel 166 i forordning (EU) nr. 575/2013.</w:t>
            </w:r>
          </w:p>
          <w:p w14:paraId="2BC7EF47" w14:textId="0D3DE562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kolonne skal omfatte summen af eksponeringsværdien af balanceførte og ikkebalanceførte eksponeringer efter konverteringsfaktorer i overensstemmelse med artikel 166, stk. 8 og 9, i forordning (EU) nr. 575/2013 og efter kreditrisikoreduktionsteknikker.</w:t>
            </w:r>
          </w:p>
        </w:tc>
      </w:tr>
      <w:tr w:rsidR="00FB3D09" w:rsidRPr="002A677E" w14:paraId="4E069FC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E0E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1DB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EKSPONERINGSVÆGTET GENNEMSNITLIG PD (%)</w:t>
            </w:r>
          </w:p>
          <w:p w14:paraId="4DB9C65C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alle eksponeringer, der indgår i hver undergruppe af det fastsatte PD-interval, det gennemsnitlige PD-estimat for hver låntager, vægtet med eksponeringsværdien efter konverteringsfaktorer og efter kreditrisikoreduktionsteknikker som indberettet i kolonne 0040.</w:t>
            </w:r>
          </w:p>
          <w:p w14:paraId="6AFB841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kolonne skal ikke udfyldes for den samlede eksponering i alle eksponeringsklasser.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2BC40F2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44D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05F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ANTAL LÅNTAGERE</w:t>
            </w:r>
          </w:p>
          <w:p w14:paraId="0F009E6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Antallet af juridiske enheder eller låntagere, der er fordelt på hver undergruppe af det fastsatte PD-interval.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5C904A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Antallet af låntagere medregnes i overensstemmelse med instrukserne i kolonne 0300 i skema C 08.01.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Fælles låntagere behandles på samme måde som med henblik på PD-kalibrering.</w:t>
            </w:r>
          </w:p>
        </w:tc>
      </w:tr>
      <w:tr w:rsidR="00FB3D09" w:rsidRPr="002A677E" w14:paraId="1AFC6165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08A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DA3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EKSPONERINGSVÆGTET GENNEMSNITLIGT LGD (%)</w:t>
            </w:r>
          </w:p>
          <w:p w14:paraId="6424566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alle eksponeringer, der indgår i hver undergruppe af det fastsatte PD-interval, de gennemsnitlige LGD-estimater for hver eksponering, vægtet med eksponeringsværdien efter konverteringsfaktorer og efter kreditrisikoreduktionsteknikker som indberettet i kolonne 0040.</w:t>
            </w:r>
          </w:p>
          <w:p w14:paraId="6112932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indberettede LGD skal svare til det endelige LGD-estimat, der er anvendt til beregningen af risikovægtede beløb, som fremkommer efter hensyntagen til eventuelle virkninger af kreditrisikoreduktionsteknikker og, hvor det er relevant, økonomiske nedgangsperioder.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 så vidt angår detaileksponeringer sikret ved pant i fast ejendom, skal de LGD, der er indberettet, tage hensyn til de bundværdier, der er angivet i artikel 164, stk. 4, i forordning (EU) nr. 575/2013.</w:t>
            </w:r>
          </w:p>
          <w:p w14:paraId="4123D9EA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misligholdte eksponeringer i henhold til A-IRB-metoden tages der hensyn til de bestemmelser, der er fastsat i artikel 181, stk. 1, litra h),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 indberettede LGD skal svare til estimatet over misligholdte LGD'er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 overensstemmelse med</w:t>
            </w:r>
            <w:r>
              <w:rPr>
                <w:sz w:val="24"/>
                <w:rFonts w:ascii="Times New Roman" w:hAnsi="Times New Roman"/>
              </w:rPr>
              <w:t xml:space="preserve"> de gældende estimeringsmetoder.</w:t>
            </w:r>
          </w:p>
          <w:p w14:paraId="176BBB4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kolonne skal ikke udfyldes for den samlede eksponering i alle eksponeringsklasser.</w:t>
            </w:r>
          </w:p>
        </w:tc>
      </w:tr>
      <w:tr w:rsidR="00FB3D09" w:rsidRPr="002A677E" w14:paraId="449A226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27E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667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EKSPONERINGSVÆGTET GENNEMSNITLIG LØBETID (ÅR)</w:t>
            </w:r>
          </w:p>
          <w:p w14:paraId="44C8EC5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alle eksponeringer, der indgår i hver undergruppe af det fastsatte PD-interval, den gennemsnitlige løbetid for hver eksponering vægtet med eksponeringsværdien efter konverteringsfaktoren som indberettet i kolonne 0040.</w:t>
            </w:r>
          </w:p>
          <w:p w14:paraId="6B1FFBC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indberettede løbetid fastsættes i overensstemmelse med artikel 162,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0A0AC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gennemsnitlige løbetid indberettes i år.</w:t>
            </w:r>
          </w:p>
          <w:p w14:paraId="2D4B80D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oplysning indberettes ikke for eksponeringsværdier, for hvilke løbetiden ikke indgår i beregningen af de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risikovægtede eksponeringer</w:t>
            </w:r>
            <w:r>
              <w:rPr>
                <w:sz w:val="24"/>
                <w:rFonts w:ascii="Times New Roman" w:hAnsi="Times New Roman"/>
              </w:rPr>
              <w:t xml:space="preserve"> i henhold til tredje del, afsnit II, kapitel 3,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 betyder, at denne kolonne ikke udfyldes for eksponeringsklassen "detail".</w:t>
            </w:r>
          </w:p>
        </w:tc>
      </w:tr>
      <w:tr w:rsidR="00FB3D09" w:rsidRPr="002A677E" w14:paraId="6D53A25A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A326" w14:textId="77777777" w:rsidR="00FB3D09" w:rsidRPr="002A677E" w:rsidDel="00F079B2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0E6B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RISIKOVÆGTET EKSPONERING EFTER ANVENDELSE AF STØTTEFAKTORER</w:t>
            </w:r>
          </w:p>
          <w:p w14:paraId="62CEA76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eksponeringer mod centralregeringer og centralbanker, institutter og selskaber, den risikovægtede eksponering beregnet i henhold til artikel 153, stk. 1-4, i forordning (EU) nr. 575/2013,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 detaileksponeringer, den risikovægtede eksponering beregnet i henhold til artikel 154 i forordning (EU) nr. 575/2013.</w:t>
            </w:r>
          </w:p>
          <w:p w14:paraId="2CF926D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Støttefaktorerne for SMV'er og infrastruktur, som fastlagt i artikel 501 og 501a i forordning (EU) nr. 575/2013, indregnes.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5C992AF3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842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B09C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FORVENTET TAB</w:t>
            </w:r>
          </w:p>
          <w:p w14:paraId="553224A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forventede tab beregnes i overensstemmelse med artikel 158 i forordning (EU) nr. 575/2013</w:t>
            </w:r>
          </w:p>
          <w:p w14:paraId="7FB4F7F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forventede tab, der indberettes, skal baseres på de faktiske risikoparametre, der anvendes i skalaen for interne ratings, som er godkendt af den relevante kompetente myndighed.</w:t>
            </w:r>
          </w:p>
        </w:tc>
      </w:tr>
      <w:tr w:rsidR="00FB3D09" w:rsidRPr="002A677E" w14:paraId="41A60CF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87E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FB7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VÆRDIJUSTERINGER OG HENSÆTTELSER</w:t>
            </w:r>
          </w:p>
          <w:p w14:paraId="6396EDF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Specifikke og generelle kreditrisikojusteringer i overensstemmelse med Kommissionens delegerede forordning (EU) nr. 183/2014, yderligere værdijusteringer i overensstemmelse med artikel 34 og 110 i forordning (EU) nr. 575/2013 samt andre reduktioner af kapitalgrundlaget i forbindelse med de eksponeringer, der er fordelt på hver undergruppe af det fastsatte PD-interval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0338EC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Disse værdijusteringer og hensættelser er dem, der er taget i betragtning ved gennemførelsen af artikel 159 i forordning (EU) nr. 575/2013.</w:t>
            </w:r>
          </w:p>
          <w:p w14:paraId="44F9E3D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Generelle hensættelser indberettes ved at tildele beløbet pro rata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 overensstemmelse med</w:t>
            </w:r>
            <w:r>
              <w:rPr>
                <w:sz w:val="24"/>
                <w:rFonts w:ascii="Times New Roman" w:hAnsi="Times New Roman"/>
              </w:rPr>
              <w:t xml:space="preserve"> de forskellige låntagerklassers forventede tab.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1A4B339F" w14:textId="77777777" w:rsidR="00FB3D09" w:rsidRPr="002A677E" w:rsidRDefault="00FB3D09" w:rsidP="00FB3D09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57"/>
      </w:tblGrid>
      <w:tr w:rsidR="00FB3D09" w:rsidRPr="002A677E" w14:paraId="27D32695" w14:textId="77777777" w:rsidTr="00822842">
        <w:tc>
          <w:tcPr>
            <w:tcW w:w="1271" w:type="dxa"/>
            <w:shd w:val="clear" w:color="auto" w:fill="auto"/>
          </w:tcPr>
          <w:p w14:paraId="52082BD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Rækker</w:t>
            </w:r>
          </w:p>
        </w:tc>
        <w:tc>
          <w:tcPr>
            <w:tcW w:w="8557" w:type="dxa"/>
            <w:shd w:val="clear" w:color="auto" w:fill="auto"/>
          </w:tcPr>
          <w:p w14:paraId="1E8678C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45ADFC09" w14:textId="77777777" w:rsidTr="00822842">
        <w:tc>
          <w:tcPr>
            <w:tcW w:w="1271" w:type="dxa"/>
          </w:tcPr>
          <w:p w14:paraId="6A7BEAE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PD-INTERVAL</w:t>
            </w:r>
          </w:p>
        </w:tc>
        <w:tc>
          <w:tcPr>
            <w:tcW w:w="8557" w:type="dxa"/>
          </w:tcPr>
          <w:p w14:paraId="2EEEC841" w14:textId="21B277A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fordeles på en passende undergruppe af det fastsatte PD-interval baseret på den PD, der er estimeret for hver låntager, der er tildelt denne eksponeringsklasse (under hensyntagen til substitutionsvirkninger som følge af kreditrisikoreduktionsteknikker).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Institutterne henfører de enkelte eksponeringer til det PD-interval, der er angivet i skemaet, idet der også tages hensyn til en kontinuerlig ratingskala.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Alle misligholdte eksponeringer medregnes i den undergruppe, der repræsenterer en PD på 100 %.</w:t>
            </w:r>
          </w:p>
          <w:p w14:paraId="19852B86" w14:textId="77777777" w:rsidR="00FB3D09" w:rsidRDefault="00FB3D09" w:rsidP="00822842">
            <w:pPr>
              <w:rPr>
                <w:rFonts w:ascii="Times New Roman" w:hAnsi="Times New Roman"/>
                <w:sz w:val="24"/>
              </w:rPr>
            </w:pPr>
          </w:p>
          <w:p w14:paraId="24E3793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{r0170, c0050} og {r0170, c0070} skal indberettes for hver eksponeringsklasse, men ikke for den samlede eksponering i alle eksponeringsklasser.</w:t>
            </w:r>
          </w:p>
        </w:tc>
      </w:tr>
    </w:tbl>
    <w:p w14:paraId="3EAAC2EE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09" w:name="_Toc19715758"/>
      <w:bookmarkStart w:id="110" w:name="_Toc151714402"/>
      <w:r>
        <w:rPr>
          <w:sz w:val="24"/>
          <w:rFonts w:ascii="Times New Roman" w:hAnsi="Times New Roman"/>
        </w:rPr>
        <w:t xml:space="preserve">C 08.04 – Kreditrisiko og leveringsrisici (free deliveries):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Kapitalkrav opgjort efter IRB-metoden (RWEA-flowtabeller (CR IRB 4))</w:t>
      </w:r>
      <w:bookmarkEnd w:id="109"/>
      <w:bookmarkEnd w:id="110"/>
    </w:p>
    <w:p w14:paraId="38050040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1" w:name="_Toc19715759"/>
      <w:bookmarkStart w:id="112" w:name="_Toc151714403"/>
      <w:r>
        <w:rPr>
          <w:sz w:val="24"/>
          <w:rFonts w:ascii="Times New Roman" w:hAnsi="Times New Roman"/>
        </w:rPr>
        <w:t xml:space="preserve">Generelle bemærkninger</w:t>
      </w:r>
      <w:bookmarkEnd w:id="111"/>
      <w:bookmarkEnd w:id="112"/>
    </w:p>
    <w:p w14:paraId="32E75E48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78</w:t>
      </w:r>
      <w:r>
        <w:fldChar w:fldCharType="end"/>
      </w:r>
      <w:r>
        <w:t xml:space="preserve">.</w:t>
      </w:r>
      <w:r>
        <w:t xml:space="preserve"> </w:t>
      </w:r>
      <w:r>
        <w:t xml:space="preserve">Institutterne indberetter oplysningerne i dette skema i henhold til artikel 438, litra h), i forordning (EU) nr. 575/2013.</w:t>
      </w:r>
      <w:r>
        <w:t xml:space="preserve"> </w:t>
      </w:r>
      <w:r>
        <w:t xml:space="preserve">Dette skema omfatter ikke modpartsrisikoeksponeringer (tredje del, afsnit II, kapitel 6, i forordning (EU) nr. 575/2013).</w:t>
      </w:r>
    </w:p>
    <w:p w14:paraId="7118D17C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79</w:t>
      </w:r>
      <w:r>
        <w:fldChar w:fldCharType="end"/>
      </w:r>
      <w:r>
        <w:t xml:space="preserve">.</w:t>
      </w:r>
      <w:r>
        <w:t xml:space="preserve"> </w:t>
      </w:r>
      <w:r>
        <w:t xml:space="preserve">Institutterne skal indberette RWEA-bevægelser som ændringer mellem de risikovægtede eksponeringer på referencedatoen og størrelsen af de risikovægtede eksponeringer på den foregående referencedato.</w:t>
      </w:r>
      <w:r>
        <w:t xml:space="preserve"> </w:t>
      </w:r>
      <w:r>
        <w:t xml:space="preserve">I tilfælde af kvartalsvis indberetning</w:t>
      </w:r>
      <w:r>
        <w:t xml:space="preserve"> skal der indberettes en opgørelse ultimo kvartalet</w:t>
      </w:r>
      <w:r>
        <w:t xml:space="preserve"> før kvartalet for referencedatoen for indberetning.</w:t>
      </w:r>
      <w:r>
        <w:t xml:space="preserve"> </w:t>
      </w:r>
    </w:p>
    <w:p w14:paraId="60298060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3" w:name="_Toc19715760"/>
      <w:bookmarkStart w:id="114" w:name="_Toc151714404"/>
      <w:r>
        <w:rPr>
          <w:sz w:val="24"/>
          <w:rFonts w:ascii="Times New Roman" w:hAnsi="Times New Roman"/>
        </w:rPr>
        <w:t xml:space="preserve">Instrukser vedrørende specifikke positioner</w:t>
      </w:r>
      <w:bookmarkEnd w:id="113"/>
      <w:bookmarkEnd w:id="11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0997C591" w14:textId="77777777" w:rsidTr="00822842">
        <w:tc>
          <w:tcPr>
            <w:tcW w:w="1188" w:type="dxa"/>
            <w:tcBorders>
              <w:bottom w:val="single" w:sz="4" w:space="0" w:color="auto"/>
            </w:tcBorders>
            <w:shd w:val="clear" w:color="auto" w:fill="CCCCCC"/>
          </w:tcPr>
          <w:p w14:paraId="332EC64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</w:t>
            </w:r>
          </w:p>
        </w:tc>
        <w:tc>
          <w:tcPr>
            <w:tcW w:w="8843" w:type="dxa"/>
            <w:tcBorders>
              <w:bottom w:val="single" w:sz="4" w:space="0" w:color="auto"/>
            </w:tcBorders>
            <w:shd w:val="clear" w:color="auto" w:fill="CCCCCC"/>
          </w:tcPr>
          <w:p w14:paraId="247A799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2B589794" w14:textId="77777777" w:rsidTr="00822842">
        <w:trPr>
          <w:trHeight w:val="97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FD2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  <w:p w14:paraId="2235B055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827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RISIKOVÆGTET EKSPONERING</w:t>
            </w:r>
          </w:p>
          <w:p w14:paraId="0E2B39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Samlet risikovægtet eksponering for kreditrisiko beregnet efter IRB-metoden under hensyntagen til støttefaktorerne i henhold til artikel 501 og 501a i forordning (EU) nr. 575/2013.</w:t>
            </w:r>
          </w:p>
        </w:tc>
      </w:tr>
      <w:tr w:rsidR="00FB3D09" w:rsidRPr="002A677E" w14:paraId="4E7D65E6" w14:textId="77777777" w:rsidTr="00822842">
        <w:trPr>
          <w:trHeight w:val="338"/>
        </w:trPr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BBCD24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B99B08" w14:textId="77777777" w:rsidR="00FB3D09" w:rsidRPr="002A677E" w:rsidRDefault="00FB3D09" w:rsidP="00822842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B3D09" w:rsidRPr="002A677E" w14:paraId="7ED73005" w14:textId="77777777" w:rsidTr="00822842">
        <w:tc>
          <w:tcPr>
            <w:tcW w:w="1188" w:type="dxa"/>
            <w:shd w:val="clear" w:color="auto" w:fill="CCCCCC"/>
          </w:tcPr>
          <w:p w14:paraId="3BBB0A0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Rækker</w:t>
            </w:r>
          </w:p>
        </w:tc>
        <w:tc>
          <w:tcPr>
            <w:tcW w:w="8843" w:type="dxa"/>
            <w:shd w:val="clear" w:color="auto" w:fill="CCCCCC"/>
          </w:tcPr>
          <w:p w14:paraId="117CE12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1452B7A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24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B5F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RISIKOVÆGTET EKSPONERING VED UDGANGEN AF DEN FOREGÅENDE INDBERETNINGSPERIODE</w:t>
            </w:r>
          </w:p>
          <w:p w14:paraId="1DA9C0B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Risikovægtet eksponering ved udgangen af den foregående indberetningsperiode efter anvendelse af støttefaktorerne for SMV'er og infrastruktur, der er fastsat i artikel 501 og 501a i forordning (EU) nr. 575/2013.</w:t>
            </w:r>
          </w:p>
        </w:tc>
      </w:tr>
      <w:tr w:rsidR="00FB3D09" w:rsidRPr="002A677E" w14:paraId="512A9B2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114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BC1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AKTIVERNES STØRRELSE (+/-)</w:t>
            </w:r>
          </w:p>
          <w:p w14:paraId="1F51764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Ændring i den risikovægtede eksponering mellem udgangen af den foregående indberetningsperiode og udgangen af den indeværende indberetningsperiode som følge af aktivernes størrelse, dvs. ændringer i størrelse og sammensætning af porteføljen (herunder etablering af nye virksomheder og lån, der forfalder), men ekskl. ændringer i porteføljens størrelse som følge af anskaffelser og afhændelser af enheder.</w:t>
            </w:r>
          </w:p>
          <w:p w14:paraId="13341C3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Stigninger i risikovægtede eksponeringer indberettes som et positivt beløb, og fald i risikovægtede eksponeringer indberettes som et negativt beløb.</w:t>
            </w:r>
          </w:p>
        </w:tc>
      </w:tr>
      <w:tr w:rsidR="00FB3D09" w:rsidRPr="002A677E" w14:paraId="17C5A80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241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BEE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AKTIVERNES KVALITET (+/-)</w:t>
            </w:r>
          </w:p>
          <w:p w14:paraId="7712664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Ændring i de risikovægtede eksponeringer mellem udgangen af den foregående indberetningsperiode og udgangen af den indeværende indberetningsperiode på grund af aktivernes kvalitet, dvs. ændringer i den vurderede kvalitet af instituttets aktiver som følge af ændringer i låntagers risiko, som f.eks. migrering mellem ratingklasser eller tilsvarende virkninger.</w:t>
            </w:r>
          </w:p>
          <w:p w14:paraId="17EA6F8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Stigninger i risikovægtede eksponeringer indberettes som et positivt beløb, og fald i risikovægtede eksponeringer indberettes som et negativt beløb.</w:t>
            </w:r>
          </w:p>
        </w:tc>
      </w:tr>
      <w:tr w:rsidR="00FB3D09" w:rsidRPr="002A677E" w14:paraId="6AF2D12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AC1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09B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OPDATERINGER AF MODELLER (+/-)</w:t>
            </w:r>
          </w:p>
          <w:p w14:paraId="44A3009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Ændring i de risikovægtede eksponeringer mellem udgangen af den foregående indberetningsperiode og udgangen af den indeværende indberetningsperiode på grund af opdateringer af modeller, dvs. ændringer som følge af gennemførelsen af nye modeller, ændringer i modellerne, ændringer i anvendelsesområdet for modeller eller andre ændringer, der har til formål at afhjælpe svagheder i forbindelse med modeller.</w:t>
            </w:r>
          </w:p>
          <w:p w14:paraId="3C5A301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Stigninger i risikovægtede eksponeringer indberettes som et positivt beløb, og fald i risikovægtede eksponeringer indberettes som et negativt beløb.</w:t>
            </w:r>
          </w:p>
        </w:tc>
      </w:tr>
      <w:tr w:rsidR="00FB3D09" w:rsidRPr="002A677E" w14:paraId="538C4129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E518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A73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METODE OG POLITIK (+/-)</w:t>
            </w:r>
          </w:p>
          <w:p w14:paraId="630D0C5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Ændring i den risikovægtede eksponering mellem udgangen af den foregående indberetningsperiode og udgangen af den indeværende indberetningsperiode som følge af metode og politik, dvs. ændringer som følge af metodologiske ændringer i beregninger forårsaget af reguleringsmæssige ændringer, herunder både revisioner af eksisterende regulativer og nye regulativer, med undtagelse af ændringer i modeller, som er omfattet i række 0040.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6A06D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Stigninger i risikovægtede eksponeringer indberettes som et positivt beløb, og fald i risikovægtede eksponeringer indberettes som et negativt beløb.</w:t>
            </w:r>
          </w:p>
        </w:tc>
      </w:tr>
      <w:tr w:rsidR="00FB3D09" w:rsidRPr="002A677E" w14:paraId="1DA64889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A6F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799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ANSKAFFELSER OG AFHÆNDELSER (+/-)</w:t>
            </w:r>
          </w:p>
          <w:p w14:paraId="3CDAAB1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Ændring i den risikovægtede eksponering mellem udgangen af den foregående indberetningsperiode og udgangen af den indeværende indberetningsperiode som følge af anskaffelser og afhændelser, dvs. ændringer i porteføljens størrelse som følge af anskaffelser og afhændelser af enheder.</w:t>
            </w:r>
          </w:p>
          <w:p w14:paraId="2BE224B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Stigninger i risikovægtede eksponeringer indberettes som et positivt beløb, og fald i risikovægtede eksponeringer indberettes som et negativt beløb.</w:t>
            </w:r>
          </w:p>
        </w:tc>
      </w:tr>
      <w:tr w:rsidR="00FB3D09" w:rsidRPr="002A677E" w14:paraId="09BBCECA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9660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94C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VALUTAKURSÆNDRINGER (+/-)</w:t>
            </w:r>
          </w:p>
          <w:p w14:paraId="5F574A4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Ændring i den risikovægtede eksponering mellem udgangen af den foregående indberetningsperiode og udgangen af den indeværende indberetningsperiode som følge af valutakursændringer, dvs. ændringer som følge af bevægelser i valutakurserne.</w:t>
            </w:r>
          </w:p>
          <w:p w14:paraId="32C9FB5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Stigninger i risikovægtede eksponeringer indberettes som et positivt beløb, og fald i risikovægtede eksponeringer indberettes som et negativt beløb.</w:t>
            </w:r>
          </w:p>
        </w:tc>
      </w:tr>
      <w:tr w:rsidR="00FB3D09" w:rsidRPr="002A677E" w14:paraId="3535A9E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8C5D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BAF1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ANDRE FAKTORER (+/-)</w:t>
            </w:r>
          </w:p>
          <w:p w14:paraId="5F09C0B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Ændring i den risikovægtede eksponering mellem udgangen af den foregående indberetningsperiode og udgangen af den indeværende indberetningsperiode som følge af andre faktorer.</w:t>
            </w:r>
          </w:p>
          <w:p w14:paraId="14338D9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kategori anvendes til at opfange ændringer, som ikke kan henføres til nogen anden kategori.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8CAC00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Stigninger i risikovægtede eksponeringer indberettes som et positivt beløb, og fald i risikovægtede eksponeringer indberettes som et negativt beløb.</w:t>
            </w:r>
          </w:p>
        </w:tc>
      </w:tr>
      <w:tr w:rsidR="00FB3D09" w:rsidRPr="002A677E" w14:paraId="0BDA1D0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E93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FAA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RISIKOVÆGTET EKSPONERING VED UDGANGEN AF INDBERETNINGSPERIODEN</w:t>
            </w:r>
          </w:p>
          <w:p w14:paraId="1FFEC50C" w14:textId="77777777" w:rsidR="00FB3D09" w:rsidRPr="002A677E" w:rsidRDefault="00FB3D09" w:rsidP="00822842">
            <w:pPr>
              <w:pStyle w:val="CommentText"/>
            </w:pPr>
            <w:r>
              <w:rPr>
                <w:sz w:val="24"/>
                <w:rFonts w:ascii="Times New Roman" w:hAnsi="Times New Roman"/>
              </w:rPr>
              <w:t xml:space="preserve">Risikovægtet eksponering ved udgangen af indberetningsperioden efter anvendelse af støttefaktorerne for SMV'er og infrastruktur, der er fastsat i artikel 501 og 501a i forordning (EU) nr. 575/2013.</w:t>
            </w:r>
          </w:p>
        </w:tc>
      </w:tr>
    </w:tbl>
    <w:p w14:paraId="49993E55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15" w:name="_Toc19715761"/>
      <w:bookmarkStart w:id="116" w:name="_Toc151714405"/>
      <w:r>
        <w:rPr>
          <w:sz w:val="24"/>
          <w:rFonts w:ascii="Times New Roman" w:hAnsi="Times New Roman"/>
        </w:rPr>
        <w:t xml:space="preserve">C 08.05 – Kreditrisiko og leveringsrisici (free deliveries):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Kapitalkrav opgjort efter IRB-metoden (backtesting af PD (CR IRB 5))</w:t>
      </w:r>
      <w:bookmarkEnd w:id="115"/>
      <w:bookmarkEnd w:id="116"/>
    </w:p>
    <w:p w14:paraId="16F92F14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7" w:name="_Toc19715762"/>
      <w:bookmarkStart w:id="118" w:name="_Toc151714406"/>
      <w:r>
        <w:rPr>
          <w:sz w:val="24"/>
          <w:rFonts w:ascii="Times New Roman" w:hAnsi="Times New Roman"/>
        </w:rPr>
        <w:t xml:space="preserve">Generelle bemærkninger</w:t>
      </w:r>
      <w:bookmarkEnd w:id="117"/>
      <w:bookmarkEnd w:id="118"/>
    </w:p>
    <w:p w14:paraId="708FD0D4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80</w:t>
      </w:r>
      <w:r>
        <w:fldChar w:fldCharType="end"/>
      </w:r>
      <w:r>
        <w:t xml:space="preserve">.</w:t>
      </w:r>
      <w:r>
        <w:t xml:space="preserve"> </w:t>
      </w:r>
      <w:r>
        <w:t xml:space="preserve">Institutterne indberetter oplysningerne i dette skema i henhold til artikel 452, litra h), i forordning (EU) nr. 575/2013.</w:t>
      </w:r>
      <w:r>
        <w:t xml:space="preserve"> </w:t>
      </w:r>
      <w:r>
        <w:t xml:space="preserve">Institutterne skal tage de modeller, der anvendes i hver eksponeringsklasse, i betragtning, og redegøre for den procentdel af den risikovægtede eksponering i den relevante eksponeringsklasse, der er omfattet af de modeller, for hvilke der indberettes backtesting-resultater.</w:t>
      </w:r>
      <w:r>
        <w:t xml:space="preserve"> </w:t>
      </w:r>
      <w:r>
        <w:t xml:space="preserve">Dette skema omfatter ikke modpartsrisikoeksponeringer (tredje del, afsnit II, kapitel 6, i forordning (EU) nr. 575/2013).</w:t>
      </w:r>
    </w:p>
    <w:p w14:paraId="584B488E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9" w:name="_Toc19715763"/>
      <w:bookmarkStart w:id="120" w:name="_Toc151714407"/>
      <w:r>
        <w:rPr>
          <w:sz w:val="24"/>
          <w:rFonts w:ascii="Times New Roman" w:hAnsi="Times New Roman"/>
        </w:rPr>
        <w:t xml:space="preserve">Instrukser vedrørende specifikke positioner</w:t>
      </w:r>
      <w:bookmarkEnd w:id="119"/>
      <w:bookmarkEnd w:id="12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768D8734" w14:textId="77777777" w:rsidTr="00822842">
        <w:tc>
          <w:tcPr>
            <w:tcW w:w="1188" w:type="dxa"/>
            <w:shd w:val="clear" w:color="auto" w:fill="CCCCCC"/>
          </w:tcPr>
          <w:p w14:paraId="5B2B4D0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Kolonner</w:t>
            </w:r>
          </w:p>
        </w:tc>
        <w:tc>
          <w:tcPr>
            <w:tcW w:w="8843" w:type="dxa"/>
            <w:shd w:val="clear" w:color="auto" w:fill="CCCCCC"/>
          </w:tcPr>
          <w:p w14:paraId="2736A61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543ACB4E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DC7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7D6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DET ARITMETISKE GENNEMSNIT (%)</w:t>
            </w:r>
          </w:p>
          <w:p w14:paraId="369D866D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aritmetiske gennemsnit af PD ved begyndelsen af indberetningsperioden for låntagere, der er omfattet af undergruppen af det fastsatte PD-interval og opgjort i kolonne 0020 (med antallet af låntagere vægtet gennemsnit).</w:t>
            </w:r>
          </w:p>
        </w:tc>
      </w:tr>
      <w:tr w:rsidR="00FB3D09" w:rsidRPr="002A677E" w14:paraId="2E5C5302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42A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8004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ANTAL LÅNTAGERE VED UDGANGEN AF DET FOREGÅENDE ÅR</w:t>
            </w:r>
          </w:p>
          <w:p w14:paraId="1D7F3DC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Antal låntagere ved udgangen af det foregående år, der er omfattet af indberetning.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726FB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Alle låntagere, der har en kreditforpligtelse på det relevante tidspunkt, skal medtages.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234603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Antallet af låntagere medregnes i overensstemmelse med instrukserne i kolonne 0300 i skema C 08.01.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Fælles låntagere behandles på samme måde som med henblik på PD-kalibrering.</w:t>
            </w:r>
          </w:p>
        </w:tc>
      </w:tr>
      <w:tr w:rsidR="00FB3D09" w:rsidRPr="002A677E" w14:paraId="14CA9E03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479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BA6B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HERAF: MISLIGHOLDT I LØBET AF ÅRET</w:t>
            </w:r>
          </w:p>
          <w:p w14:paraId="62E6E1C3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Antal låntagere, der har misligholdt i løbet af året (dvs. observationsperioden for beregning af misligholdelsesraten)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E6FF3A5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Misligholdelser vurderes i overensstemmelse med artikel 178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7E2D9C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Hver låntager, der har misligholdt, tælles kun én gang i tælleren og nævneren i beregningen af den etårige misligholdelsesfrekvens, selv hvis låntageren har misligholdt mere end én gang i den relevante etårsperiode.</w:t>
            </w:r>
          </w:p>
        </w:tc>
      </w:tr>
      <w:tr w:rsidR="00FB3D09" w:rsidRPr="002A677E" w14:paraId="5FAAFE72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9B5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AED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DEN OBSERVEREDE GENNEMSNITLIGE MISLIGHOLDELSESRATE (%)</w:t>
            </w:r>
          </w:p>
          <w:p w14:paraId="2D64742F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etårige misligholdelsesfrekvens som omhandlet i artikel 4, stk. 1, nr. 78), i forordning (EU) nr. 575/2013.</w:t>
            </w:r>
          </w:p>
          <w:p w14:paraId="01C9FA62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sikre:</w:t>
            </w:r>
          </w:p>
          <w:p w14:paraId="3C9723C5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a) at nævneren består af antallet af modparter, der ikke har misligholdt nogen kreditforpligtelse, observeret ved begyndelsen af den etårige observationsperiode (dvs. begyndelsen af året inden referencedatoen for indberetning);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 denne forbindelse henviser en kreditforpligtelse til begge af følgende punkter: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i) enhver balanceført post, herunder eventuelle beløb for hovedstol, renter og gebyrer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ii) enhver ikkebalanceført post, herunder garantier udstedt af instituttet i sin egenskab af garant.</w:t>
            </w:r>
          </w:p>
          <w:p w14:paraId="0D440FD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b) at tælleren omfatter alle de låntagere, der er behandlet i nævneren, og som havde mindst én misligholdelse i løbet af den etårige observationsperiode (året inden referencedatoen for indberetning).</w:t>
            </w:r>
          </w:p>
          <w:p w14:paraId="071F87D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så vidt angår beregningen af antallet af låntagere, henvises til kolonne 0300 i skemaet C 08.01.</w:t>
            </w:r>
          </w:p>
        </w:tc>
      </w:tr>
      <w:tr w:rsidR="00FB3D09" w:rsidRPr="002A677E" w14:paraId="5135E71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563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9762" w14:textId="77777777" w:rsidR="00FB3D09" w:rsidRPr="002A677E" w:rsidRDefault="00FB3D09" w:rsidP="00822842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GENNEMSNITLIG HISTORISK ÅRLIG MISLIGHOLDELSESRATE (%)</w:t>
            </w:r>
          </w:p>
          <w:p w14:paraId="584459C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simple gennemsnit af den årlige misligholdelsesrate for de seneste fem år (låntagere i begyndelsen af hvert år, som misligholder i løbet af det pågældende år/det samlede antal låntagere i begyndelsen af året) er et minimum.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Instituttet kan anvende en længere historisk periode, der er i overensstemmelse med instituttets faktiske risikostyringspraksis.</w:t>
            </w:r>
          </w:p>
        </w:tc>
      </w:tr>
    </w:tbl>
    <w:p w14:paraId="1BEF1A20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57"/>
      </w:tblGrid>
      <w:tr w:rsidR="00FB3D09" w:rsidRPr="002A677E" w14:paraId="1B84D0E8" w14:textId="77777777" w:rsidTr="00822842">
        <w:tc>
          <w:tcPr>
            <w:tcW w:w="1271" w:type="dxa"/>
            <w:shd w:val="clear" w:color="auto" w:fill="auto"/>
          </w:tcPr>
          <w:p w14:paraId="3EC9FD0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Rækker</w:t>
            </w:r>
          </w:p>
        </w:tc>
        <w:tc>
          <w:tcPr>
            <w:tcW w:w="8557" w:type="dxa"/>
            <w:shd w:val="clear" w:color="auto" w:fill="auto"/>
          </w:tcPr>
          <w:p w14:paraId="65FC4F8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3C8ED033" w14:textId="77777777" w:rsidTr="00822842">
        <w:tc>
          <w:tcPr>
            <w:tcW w:w="1271" w:type="dxa"/>
          </w:tcPr>
          <w:p w14:paraId="514F115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PD-INTERVAL</w:t>
            </w:r>
          </w:p>
        </w:tc>
        <w:tc>
          <w:tcPr>
            <w:tcW w:w="8557" w:type="dxa"/>
          </w:tcPr>
          <w:p w14:paraId="61595E98" w14:textId="56A50A6C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fordeles på en passende undergruppe af det fastsatte PD-interval baseret på den PD, der er estimeret ved begyndelsen af hver indberetningsperiode for hver låntager, der er tildelt denne eksponeringsklasse (under hensyntagen til substitutionsvirkninger som følge af kreditrisikoreduktionsteknikker).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Institutterne henfører de enkelte eksponeringer til det PD-interval, der er angivet i skemaet, idet der også tages hensyn til en kontinuerlig ratingskala.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Alle misligholdte eksponeringer medregnes i den undergruppe, der repræsenterer en PD på 100 %.</w:t>
            </w:r>
          </w:p>
        </w:tc>
      </w:tr>
    </w:tbl>
    <w:p w14:paraId="4DD60C58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21" w:name="_Toc19715764"/>
      <w:bookmarkStart w:id="122" w:name="_Toc151714408"/>
      <w:r>
        <w:rPr>
          <w:sz w:val="24"/>
          <w:rFonts w:ascii="Times New Roman" w:hAnsi="Times New Roman"/>
        </w:rPr>
        <w:t xml:space="preserve">C 08.05.1 – Kreditrisiko og leveringsrisici (free deliveries):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Kapitalkrav opgjort efter IRB-metoden: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backtesting af PD i overensstemmelse med artikel 180, stk. 1, litra f), i forordning (EU) nr. 575/2013 (CR IRB 5B)</w:t>
      </w:r>
      <w:bookmarkEnd w:id="121"/>
      <w:bookmarkEnd w:id="122"/>
    </w:p>
    <w:p w14:paraId="27A46150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23" w:name="_Toc19715765"/>
      <w:bookmarkStart w:id="124" w:name="_Toc151714409"/>
      <w:r>
        <w:rPr>
          <w:sz w:val="24"/>
          <w:rFonts w:ascii="Times New Roman" w:hAnsi="Times New Roman"/>
        </w:rPr>
        <w:t xml:space="preserve">Instrukser vedrørende specifikke positioner</w:t>
      </w:r>
      <w:bookmarkEnd w:id="123"/>
      <w:bookmarkEnd w:id="124"/>
    </w:p>
    <w:p w14:paraId="68360FA1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81</w:t>
      </w:r>
      <w:r>
        <w:fldChar w:fldCharType="end"/>
      </w:r>
      <w:r>
        <w:t xml:space="preserve">.</w:t>
      </w:r>
      <w:r>
        <w:t xml:space="preserve"> </w:t>
      </w:r>
      <w:r>
        <w:t xml:space="preserve">Ud over skema C 08.05 indberetter institutterne oplysninger i skema C 08.05.1, hvis de anvender artikel 180, stk. 1, litra f), i forordning (EU) nr. 575/2013 til et estimat af PD og kun for PD-estimater i overensstemmelse med samme artikel.</w:t>
      </w:r>
      <w:r>
        <w:t xml:space="preserve"> </w:t>
      </w:r>
      <w:r>
        <w:t xml:space="preserve">Instrukserne er de samme som i skema C 08.05 med følgende undtagelser: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1E2F3B8E" w14:textId="77777777" w:rsidTr="00822842">
        <w:tc>
          <w:tcPr>
            <w:tcW w:w="1188" w:type="dxa"/>
            <w:shd w:val="clear" w:color="auto" w:fill="CCCCCC"/>
          </w:tcPr>
          <w:p w14:paraId="7D027DF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Kolonner</w:t>
            </w:r>
          </w:p>
        </w:tc>
        <w:tc>
          <w:tcPr>
            <w:tcW w:w="8843" w:type="dxa"/>
            <w:shd w:val="clear" w:color="auto" w:fill="CCCCCC"/>
          </w:tcPr>
          <w:p w14:paraId="63A7247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528697BD" w14:textId="77777777" w:rsidTr="00822842">
        <w:tc>
          <w:tcPr>
            <w:tcW w:w="1188" w:type="dxa"/>
            <w:shd w:val="clear" w:color="auto" w:fill="auto"/>
          </w:tcPr>
          <w:p w14:paraId="150C8B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8843" w:type="dxa"/>
            <w:shd w:val="clear" w:color="auto" w:fill="auto"/>
          </w:tcPr>
          <w:p w14:paraId="1D47203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PD-INTERVAL</w:t>
            </w:r>
          </w:p>
          <w:p w14:paraId="4CAAE10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indberette PD-intervaller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 overensstemmelse med</w:t>
            </w:r>
            <w:r>
              <w:rPr>
                <w:sz w:val="24"/>
                <w:rFonts w:ascii="Times New Roman" w:hAnsi="Times New Roman"/>
              </w:rPr>
              <w:t xml:space="preserve"> deres interne ratings, som de henfører til den skala, der anvendes af det eksterne kreditvurderingsinstitut (ECAI), i stedet for et fastsat eksternt PD-interval.</w:t>
            </w:r>
          </w:p>
        </w:tc>
      </w:tr>
      <w:tr w:rsidR="00FB3D09" w:rsidRPr="002A677E" w14:paraId="64D00DA7" w14:textId="77777777" w:rsidTr="00822842">
        <w:tc>
          <w:tcPr>
            <w:tcW w:w="1188" w:type="dxa"/>
            <w:shd w:val="clear" w:color="auto" w:fill="auto"/>
          </w:tcPr>
          <w:p w14:paraId="1078063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0006</w:t>
            </w:r>
          </w:p>
        </w:tc>
        <w:tc>
          <w:tcPr>
            <w:tcW w:w="8843" w:type="dxa"/>
            <w:shd w:val="clear" w:color="auto" w:fill="auto"/>
          </w:tcPr>
          <w:p w14:paraId="6793AD5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TILSVARENDE EKSTERN RATING</w:t>
            </w:r>
          </w:p>
          <w:p w14:paraId="276EE83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indberette en kolonne for hvert ECAI, der er taget i betragtning i henhold til artikel 180, stk. 1, litra f),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 disse kolonner skal institutterne medtage den eksterne rating, hvortil deres interne PD-intervaller er henført.</w:t>
            </w:r>
          </w:p>
        </w:tc>
      </w:tr>
    </w:tbl>
    <w:p w14:paraId="1CA8A0ED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25" w:name="_Toc19715766"/>
      <w:bookmarkStart w:id="126" w:name="_Toc151714410"/>
      <w:r>
        <w:rPr>
          <w:sz w:val="24"/>
          <w:rFonts w:ascii="Times New Roman" w:hAnsi="Times New Roman"/>
        </w:rPr>
        <w:t xml:space="preserve">C 08.06 – Kreditrisiko og leveringsrisici (free deliveries):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Kapitalkrav opgjort efter IRB-metoden (kategoriseringsmetoden for specialiseret långivning (CR IRB 6))</w:t>
      </w:r>
      <w:bookmarkEnd w:id="125"/>
      <w:bookmarkEnd w:id="126"/>
    </w:p>
    <w:p w14:paraId="0C327519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27" w:name="_Toc19715767"/>
      <w:bookmarkStart w:id="128" w:name="_Toc151714411"/>
      <w:r>
        <w:rPr>
          <w:sz w:val="24"/>
          <w:rFonts w:ascii="Times New Roman" w:hAnsi="Times New Roman"/>
        </w:rPr>
        <w:t xml:space="preserve">Generelle bemærkninger</w:t>
      </w:r>
      <w:bookmarkEnd w:id="127"/>
      <w:bookmarkEnd w:id="128"/>
    </w:p>
    <w:p w14:paraId="06C30120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82</w:t>
      </w:r>
      <w:r>
        <w:fldChar w:fldCharType="end"/>
      </w:r>
      <w:r>
        <w:t xml:space="preserve">.</w:t>
      </w:r>
      <w:r>
        <w:t xml:space="preserve"> </w:t>
      </w:r>
      <w:r>
        <w:t xml:space="preserve">Institutterne indberetter oplysningerne i dette skema i henhold til artikel 438, litra e), i forordning (EU) nr. 575/2013.</w:t>
      </w:r>
      <w:r>
        <w:t xml:space="preserve"> </w:t>
      </w:r>
      <w:r>
        <w:t xml:space="preserve">Institutterne skal indberette oplysninger om følgende typer af specialiserede långivningseksponeringer, der er omhandlet i tabel 1 i artikel 153, stk. 5:</w:t>
      </w:r>
    </w:p>
    <w:p w14:paraId="020ECF38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1080"/>
      </w:pPr>
      <w:r>
        <w:t xml:space="preserve">Projektfinansiering</w:t>
      </w:r>
    </w:p>
    <w:p w14:paraId="0D30395D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1080"/>
      </w:pPr>
      <w:r>
        <w:t xml:space="preserve">Indtægtsgenerende fast ejendom og erhvervsejendomme med høj volatilitet</w:t>
      </w:r>
    </w:p>
    <w:p w14:paraId="0E156A19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1080"/>
      </w:pPr>
      <w:r>
        <w:t xml:space="preserve">Objektfinansiering</w:t>
      </w:r>
    </w:p>
    <w:p w14:paraId="66940C39" w14:textId="77777777" w:rsidR="00FB3D09" w:rsidRPr="002A677E" w:rsidRDefault="00FB3D09" w:rsidP="00FB3D09">
      <w:pPr>
        <w:pStyle w:val="InstructionsText2"/>
        <w:numPr>
          <w:ilvl w:val="1"/>
          <w:numId w:val="15"/>
        </w:numPr>
      </w:pPr>
      <w:r>
        <w:t xml:space="preserve">Råvarefinansiering</w:t>
      </w:r>
    </w:p>
    <w:p w14:paraId="58A5DEC7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29" w:name="_Toc19715768"/>
      <w:bookmarkStart w:id="130" w:name="_Toc151714412"/>
      <w:r>
        <w:rPr>
          <w:sz w:val="24"/>
          <w:rFonts w:ascii="Times New Roman" w:hAnsi="Times New Roman"/>
        </w:rPr>
        <w:t xml:space="preserve">Instrukser vedrørende specifikke positioner</w:t>
      </w:r>
      <w:bookmarkEnd w:id="129"/>
      <w:bookmarkEnd w:id="13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7D26FD2B" w14:textId="77777777" w:rsidTr="00822842">
        <w:tc>
          <w:tcPr>
            <w:tcW w:w="1188" w:type="dxa"/>
            <w:shd w:val="clear" w:color="auto" w:fill="CCCCCC"/>
          </w:tcPr>
          <w:p w14:paraId="6E60686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Kolonner</w:t>
            </w:r>
          </w:p>
        </w:tc>
        <w:tc>
          <w:tcPr>
            <w:tcW w:w="8843" w:type="dxa"/>
            <w:shd w:val="clear" w:color="auto" w:fill="CCCCCC"/>
          </w:tcPr>
          <w:p w14:paraId="03916D9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27E14697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525B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511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OPRINDELIG EKSPONERING FØR ANVENDELSE AF KONVERTERINGSFAKTORER</w:t>
            </w:r>
          </w:p>
          <w:p w14:paraId="3FEAA5A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instrukserne til CR-IRB.</w:t>
            </w:r>
          </w:p>
        </w:tc>
      </w:tr>
      <w:tr w:rsidR="00FB3D09" w:rsidRPr="002A677E" w14:paraId="2B63E9B7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E9A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A24A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 EFTER SUBSTITUTIONSVIRKNINGER AF KREDITRISIKOREDUKTIONSTEKNIKKER FØR ANVENDELSE AF KONVERTERINGSFAKTORER</w:t>
            </w:r>
          </w:p>
          <w:p w14:paraId="6CBD0B3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instrukserne til CR-IRB.</w:t>
            </w:r>
          </w:p>
        </w:tc>
      </w:tr>
      <w:tr w:rsidR="00FB3D09" w:rsidRPr="002A677E" w14:paraId="328B4A3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D5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0030, 0050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5F73" w14:textId="77777777" w:rsidR="00FB3D09" w:rsidRPr="002A677E" w:rsidRDefault="00FB3D09" w:rsidP="00822842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 IKKEBALANCEFØRTE POSTER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34DD8D8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instrukserne til CR SA.</w:t>
            </w:r>
          </w:p>
        </w:tc>
      </w:tr>
      <w:tr w:rsidR="00FB3D09" w:rsidRPr="002A677E" w14:paraId="08DB9921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ACF1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8A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EKSPONERINGSVÆRDI</w:t>
            </w:r>
          </w:p>
          <w:p w14:paraId="4F68F71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instrukserne til CR-IRB.</w:t>
            </w:r>
          </w:p>
        </w:tc>
      </w:tr>
      <w:tr w:rsidR="00FB3D09" w:rsidRPr="002A677E" w14:paraId="0927737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38D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7BBF" w14:textId="77777777" w:rsidR="00FB3D09" w:rsidRPr="002A677E" w:rsidRDefault="00FB3D09" w:rsidP="00822842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 SOM OPSTÅR I FORBINDELSE MED MODPARTSRISIKO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16635B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instrukserne til CR SA.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383531B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568B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FB93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RISIKOVÆGT</w:t>
            </w:r>
          </w:p>
          <w:p w14:paraId="5C41EA7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153, stk. 5, i forordning (EU) nr. 575/2013</w:t>
            </w:r>
          </w:p>
          <w:p w14:paraId="67CCD5D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Dette er en fast kolonne til orientering.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må ikke ændres.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10464D9B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0F65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6948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RISIKOVÆGTET EKSPONERING EFTER ANVENDELSE AF STØTTEFAKTORER</w:t>
            </w:r>
          </w:p>
          <w:p w14:paraId="4B6C2EA5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instrukserne til CR-IRB.</w:t>
            </w:r>
          </w:p>
        </w:tc>
      </w:tr>
      <w:tr w:rsidR="00FB3D09" w:rsidRPr="002A677E" w14:paraId="6070EADF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E8B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3B5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FORVENTET TAB</w:t>
            </w:r>
          </w:p>
          <w:p w14:paraId="693CE6D8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instrukserne til CR-IRB.</w:t>
            </w:r>
          </w:p>
        </w:tc>
      </w:tr>
      <w:tr w:rsidR="00FB3D09" w:rsidRPr="002A677E" w14:paraId="382A8A4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57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6E8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VÆRDIJUSTERINGER OG HENSÆTTELSER</w:t>
            </w:r>
          </w:p>
          <w:p w14:paraId="43E4B618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instrukserne til CR-IRB.</w:t>
            </w:r>
          </w:p>
        </w:tc>
      </w:tr>
    </w:tbl>
    <w:p w14:paraId="53071A7C" w14:textId="77777777" w:rsidR="00FB3D09" w:rsidRPr="002A677E" w:rsidRDefault="00FB3D09" w:rsidP="00FB3D09">
      <w:pPr>
        <w:pStyle w:val="body"/>
      </w:pPr>
      <w:bookmarkStart w:id="131" w:name="_Toc19715769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8931"/>
      </w:tblGrid>
      <w:tr w:rsidR="00FB3D09" w:rsidRPr="002A677E" w14:paraId="2FD73173" w14:textId="77777777" w:rsidTr="00822842">
        <w:tc>
          <w:tcPr>
            <w:tcW w:w="1129" w:type="dxa"/>
            <w:shd w:val="pct25" w:color="auto" w:fill="auto"/>
          </w:tcPr>
          <w:p w14:paraId="528FE15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Rækker</w:t>
            </w:r>
          </w:p>
        </w:tc>
        <w:tc>
          <w:tcPr>
            <w:tcW w:w="8931" w:type="dxa"/>
            <w:shd w:val="pct25" w:color="auto" w:fill="auto"/>
          </w:tcPr>
          <w:p w14:paraId="74C4755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13ABD6A4" w14:textId="77777777" w:rsidTr="00822842">
        <w:tc>
          <w:tcPr>
            <w:tcW w:w="1129" w:type="dxa"/>
          </w:tcPr>
          <w:p w14:paraId="6D90D95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0010-0120</w:t>
            </w:r>
          </w:p>
        </w:tc>
        <w:tc>
          <w:tcPr>
            <w:tcW w:w="8931" w:type="dxa"/>
          </w:tcPr>
          <w:p w14:paraId="68EE291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fordeles på den relevante kategori og den relevante løbetid i overensstemmelse med tabel 1 i artikel 153, stk. 5, i forordning (EU) nr. 575/2013.</w:t>
            </w:r>
          </w:p>
        </w:tc>
      </w:tr>
    </w:tbl>
    <w:p w14:paraId="4255FF49" w14:textId="77777777" w:rsidR="00FB3D09" w:rsidRPr="002A677E" w:rsidRDefault="00FB3D09" w:rsidP="00FB3D09">
      <w:pPr>
        <w:pStyle w:val="body"/>
      </w:pPr>
    </w:p>
    <w:p w14:paraId="782F65B6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32" w:name="_Toc151714413"/>
      <w:r>
        <w:rPr>
          <w:sz w:val="24"/>
          <w:rFonts w:ascii="Times New Roman" w:hAnsi="Times New Roman"/>
        </w:rPr>
        <w:t xml:space="preserve">C 08.07 – Kreditrisiko og leveringsrisici (free deliveries):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Kapitalkrav opgjort efter IRB-metoden (anvendelsesområdet for IRB- og SA-metoden (CR IRB 7))</w:t>
      </w:r>
      <w:bookmarkEnd w:id="131"/>
      <w:bookmarkEnd w:id="132"/>
    </w:p>
    <w:p w14:paraId="4D5E0149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33" w:name="_Toc19715770"/>
      <w:bookmarkStart w:id="134" w:name="_Toc151714414"/>
      <w:r>
        <w:rPr>
          <w:sz w:val="24"/>
          <w:rFonts w:ascii="Times New Roman" w:hAnsi="Times New Roman"/>
        </w:rPr>
        <w:t xml:space="preserve">Generelle bemærkninger</w:t>
      </w:r>
      <w:bookmarkEnd w:id="133"/>
      <w:bookmarkEnd w:id="134"/>
    </w:p>
    <w:p w14:paraId="2A642543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83</w:t>
      </w:r>
      <w:r>
        <w:fldChar w:fldCharType="end"/>
      </w:r>
      <w:r>
        <w:t xml:space="preserve">.</w:t>
      </w:r>
      <w:r>
        <w:t xml:space="preserve"> </w:t>
      </w:r>
      <w:r>
        <w:t xml:space="preserve">Med henblik på dette skema allokerer de institutter, der beregner risikovægtede eksponeringer efter IRB-metoden for kreditrisiko deres eksponeringer, der er omfattet af standardmetoden, der er fastsat i tredje del, afsnit II, kapitel 2, i forordning (EU) nr. 575/2013, eller af IRB-metoden, der er fastsat i tredje del, afsnit II, kapitel 3, i nævnte forordning, såvel som andelen af hver eksponeringsklasse, der er omfattet af en roll-out-plan.</w:t>
      </w:r>
      <w:r>
        <w:t xml:space="preserve"> </w:t>
      </w:r>
      <w:r>
        <w:t xml:space="preserve">Institutterne medtager oplysningerne i dette skema efter eksponeringsklasser i overensstemmelse med den opdeling af eksponeringsklasser, der fremgår af rækkerne i skemaet.</w:t>
      </w:r>
    </w:p>
    <w:p w14:paraId="5EF649B7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84</w:t>
      </w:r>
      <w:r>
        <w:fldChar w:fldCharType="end"/>
      </w:r>
      <w:r>
        <w:t xml:space="preserve">.</w:t>
      </w:r>
      <w:r>
        <w:t xml:space="preserve"> </w:t>
      </w:r>
      <w:r>
        <w:t xml:space="preserve">Kolonne 0030-0050 bør dække hele spektret af eksponeringer, således at summen af hver række for disse tre kolonner skal være 100 % for alle eksponeringsklasser undtagen securitiseringspositioner og fratrukne positioner.</w:t>
      </w:r>
    </w:p>
    <w:p w14:paraId="2976CB2C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35" w:name="_Toc19715771"/>
      <w:bookmarkStart w:id="136" w:name="_Toc151714415"/>
      <w:r>
        <w:rPr>
          <w:sz w:val="24"/>
          <w:rFonts w:ascii="Times New Roman" w:hAnsi="Times New Roman"/>
        </w:rPr>
        <w:t xml:space="preserve">Instrukser vedrørende specifikke positioner</w:t>
      </w:r>
      <w:bookmarkEnd w:id="135"/>
      <w:bookmarkEnd w:id="136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5A54A3CB" w14:textId="77777777" w:rsidTr="00822842">
        <w:tc>
          <w:tcPr>
            <w:tcW w:w="1188" w:type="dxa"/>
            <w:shd w:val="clear" w:color="auto" w:fill="CCCCCC"/>
          </w:tcPr>
          <w:p w14:paraId="4D5D1AB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Kolonner</w:t>
            </w:r>
          </w:p>
        </w:tc>
        <w:tc>
          <w:tcPr>
            <w:tcW w:w="8843" w:type="dxa"/>
            <w:shd w:val="clear" w:color="auto" w:fill="CCCCCC"/>
          </w:tcPr>
          <w:p w14:paraId="07D6E67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1E4DCF5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C9BE7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5E21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SAMLET EKSPONERINGSVÆRDI SOM DEFINERET I ARTIKEL 166 I FORORDNING (EU) NR. 575/2013</w:t>
            </w:r>
          </w:p>
          <w:p w14:paraId="411002F2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anvende eksponeringsværdien inden kreditrisikoreduktionsteknikkerne i overensstemmelse med artikel 166 i forordning (EU) nr. 575/2013.</w:t>
            </w:r>
          </w:p>
        </w:tc>
      </w:tr>
      <w:tr w:rsidR="00FB3D09" w:rsidRPr="002A677E" w14:paraId="39F1E0F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8E74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D1CA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SAMLET EKSPONERINGSVÆRDI OMFATTET AF SA OG IRB</w:t>
            </w:r>
          </w:p>
          <w:p w14:paraId="2CF123A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anvender eksponeringsværdien inden anvendelsen af kreditrisikoreduktionsteknikker i henhold til artikel 429, stk. 4, i forordning (EU) nr. 575/2013, når de indberetter den samlede eksponering, herunder både eksponeringen i henhold til standardmetoden og eksponeringen i henhold til IRB-metoden.</w:t>
            </w:r>
          </w:p>
        </w:tc>
      </w:tr>
      <w:tr w:rsidR="00FB3D09" w:rsidRPr="002A677E" w14:paraId="637EC372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F292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D8C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PROCENTDEL AF DEN SAMLEDE EKSPONERINGSVÆRDI OMFATTET AF EN PERMANENT DELVIS ANVENDELSE AF SA (%)</w:t>
            </w:r>
          </w:p>
          <w:p w14:paraId="4E8BC7D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 del af eksponeringen for hver eksponeringsklasse, der er omfattet af standardmetoden (eksponering omfattet af standardmetoden inden anvendelsen af kreditrisikoreduktionsteknikker i forhold til den samlede eksponering i den pågældende eksponeringsklasse i kolonne 0020), under hensyntagen til anvendelsesområdet for den tilladelse, der er givet af en kompetent myndighed, til permanent delvis anvendelse af standardmetoden, jf. artikel 150 i forordning (EU) nr. 575/2013.</w:t>
            </w:r>
          </w:p>
        </w:tc>
      </w:tr>
      <w:tr w:rsidR="00FB3D09" w:rsidRPr="002A677E" w14:paraId="6D7D640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D0A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E0B5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PROCENTDEL AF DEN SAMLEDE EKSPONERINGSVÆRDI, DER ER OMFATTET AF EN ROLL-OUT-PLAN (%)</w:t>
            </w:r>
          </w:p>
          <w:p w14:paraId="1384B1B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del af eksponeringen for hver eksponeringsklasse, hvor anvendelsen af IRB-metoden sker i faser i henhold til artikel 148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Dette skal omfatte: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4A26F0D" w14:textId="77777777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begge eksponeringer, hvor institutterne har planer om at anvende IRB-metoden med deres egne estimater af LGD og/eller konverteringsfaktorer (F-IRB og A-IRB)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68B410E" w14:textId="77777777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aktieeksponeringer uden større betydning, der ikke er medtaget i kolonne 0020 eller 0040</w:t>
            </w:r>
          </w:p>
          <w:p w14:paraId="674B8F2C" w14:textId="77777777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der allerede er i F-IRB, hvor et institut agter at anvende A-IRB fremover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8C08A10" w14:textId="148DB963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specialiserede långivningseksponeringer i henhold til den tilsynsmæssige kategoriseringsmetode er ikke medtaget i kolonne 0010.</w:t>
            </w:r>
          </w:p>
        </w:tc>
      </w:tr>
      <w:tr w:rsidR="00FB3D09" w:rsidRPr="002A677E" w14:paraId="5705D87F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113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C0A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PROCENTDEL AF DEN SAMLEDE EKSPONERINGSVÆRDI, DER ER OMFATTET AF IRB-METODEN (%)</w:t>
            </w:r>
          </w:p>
          <w:p w14:paraId="281F622B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 del af eksponeringen for hver eksponeringsklasse, der er omfattet af IRB-metoden (eksponering omfattet af IRB-metoden før kreditrisikoreduktionsteknikker i forhold til den samlede eksponering i den pågældende eksponeringsklasse), under hensyntagen til anvendelsesområdet for den tilladelse, der er givet af en kompetent myndighed, til at anvende IRB-metoden, jf. artikel 143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Dette omfatter både eksponeringer, hvor institutterne har tilladelse til at anvende deres egne estimater af LGD og/eller eventuelle konverteringsfaktorer (F-IRB og A-IRB), herunder den tilsynsmæssige kategoriseringsmetode for specialiserede långivningseksponeringer og aktieeksponeringer, der er omfattet af den forenklede risikovægtningsmetode, samt de eksponeringer, der er indberettet i række 0170 i skema C 08.01.</w:t>
            </w:r>
          </w:p>
        </w:tc>
      </w:tr>
    </w:tbl>
    <w:p w14:paraId="164F67EA" w14:textId="77777777" w:rsidR="00FB3D09" w:rsidRPr="002A677E" w:rsidRDefault="00FB3D09" w:rsidP="00FB3D09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7"/>
        <w:gridCol w:w="8371"/>
      </w:tblGrid>
      <w:tr w:rsidR="00FB3D09" w:rsidRPr="002A677E" w14:paraId="0A859347" w14:textId="77777777" w:rsidTr="00822842">
        <w:tc>
          <w:tcPr>
            <w:tcW w:w="1271" w:type="dxa"/>
            <w:shd w:val="pct25" w:color="auto" w:fill="auto"/>
          </w:tcPr>
          <w:p w14:paraId="7F52456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Rækker</w:t>
            </w:r>
          </w:p>
        </w:tc>
        <w:tc>
          <w:tcPr>
            <w:tcW w:w="8557" w:type="dxa"/>
            <w:shd w:val="pct25" w:color="auto" w:fill="auto"/>
          </w:tcPr>
          <w:p w14:paraId="123EB3D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Instrukser</w:t>
            </w:r>
          </w:p>
        </w:tc>
      </w:tr>
      <w:tr w:rsidR="00FB3D09" w:rsidRPr="002A677E" w14:paraId="39EFDE98" w14:textId="77777777" w:rsidTr="00822842">
        <w:tc>
          <w:tcPr>
            <w:tcW w:w="1271" w:type="dxa"/>
          </w:tcPr>
          <w:p w14:paraId="416FB44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EKSPONERINGSKLASSER</w:t>
            </w:r>
          </w:p>
        </w:tc>
        <w:tc>
          <w:tcPr>
            <w:tcW w:w="8557" w:type="dxa"/>
          </w:tcPr>
          <w:p w14:paraId="7564DFF0" w14:textId="77777777" w:rsidR="00FB3D09" w:rsidRPr="002A677E" w:rsidRDefault="00FB3D09" w:rsidP="00822842">
            <w:pPr>
              <w:rPr>
                <w:sz w:val="24"/>
                <w:rFonts w:ascii="Times New Roman" w:eastAsiaTheme="minorHAns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medtager oplysningerne i dette skema efter eksponeringsklasser i overensstemmelse med den opdeling af eksponeringsklasser, der fremgår af rækkerne i skemaet.</w:t>
            </w:r>
          </w:p>
        </w:tc>
      </w:tr>
    </w:tbl>
    <w:p w14:paraId="423B2FFB" w14:textId="77777777" w:rsidR="00FB3D09" w:rsidRPr="002A677E" w:rsidRDefault="00FB3D09" w:rsidP="00FB3D09">
      <w:pPr>
        <w:pStyle w:val="InstructionsText"/>
      </w:pPr>
    </w:p>
    <w:p w14:paraId="64301D29" w14:textId="5498A6A8" w:rsidR="00FB3D09" w:rsidRPr="002A677E" w:rsidRDefault="00FB3D09" w:rsidP="003C214D">
      <w:pPr>
        <w:pStyle w:val="Instructionsberschrift2"/>
        <w:numPr>
          <w:ilvl w:val="0"/>
          <w:numId w:val="0"/>
        </w:numPr>
        <w:ind w:left="357" w:hanging="357"/>
      </w:pPr>
    </w:p>
    <w:p w14:paraId="6A9DD699" w14:textId="77777777" w:rsidR="00210485" w:rsidRDefault="00210485"/>
    <w:p w14:paraId="108DB657" w14:textId="77777777" w:rsidR="00FB3D09" w:rsidRDefault="00FB3D09"/>
    <w:p w14:paraId="31203373" w14:textId="77777777" w:rsidR="00FB3D09" w:rsidRDefault="00FB3D09"/>
    <w:p w14:paraId="32797964" w14:textId="77777777" w:rsidR="00210485" w:rsidRDefault="00210485"/>
    <w:sectPr w:rsidR="00210485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03CBD" w14:textId="77777777" w:rsidR="00CF2E8B" w:rsidRDefault="00CF2E8B" w:rsidP="00E26A90">
      <w:pPr>
        <w:spacing w:after="0"/>
      </w:pPr>
      <w:r>
        <w:separator/>
      </w:r>
    </w:p>
  </w:endnote>
  <w:endnote w:type="continuationSeparator" w:id="0">
    <w:p w14:paraId="2A814F1F" w14:textId="77777777" w:rsidR="00CF2E8B" w:rsidRDefault="00CF2E8B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8E0D9" w14:textId="77777777" w:rsidR="00CF2E8B" w:rsidRDefault="00CF2E8B" w:rsidP="00E26A90">
      <w:pPr>
        <w:spacing w:after="0"/>
      </w:pPr>
      <w:r>
        <w:separator/>
      </w:r>
    </w:p>
  </w:footnote>
  <w:footnote w:type="continuationSeparator" w:id="0">
    <w:p w14:paraId="3D573060" w14:textId="77777777" w:rsidR="00CF2E8B" w:rsidRDefault="00CF2E8B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5577"/>
    <w:multiLevelType w:val="multilevel"/>
    <w:tmpl w:val="1E16ACB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7" w15:restartNumberingAfterBreak="0">
    <w:nsid w:val="1CD55968"/>
    <w:multiLevelType w:val="multilevel"/>
    <w:tmpl w:val="6C985BE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1D2B1F86"/>
    <w:multiLevelType w:val="hybridMultilevel"/>
    <w:tmpl w:val="51A461B8"/>
    <w:lvl w:ilvl="0" w:tplc="8EFA9B40">
      <w:start w:val="1"/>
      <w:numFmt w:val="decimal"/>
      <w:lvlText w:val="%1)"/>
      <w:lvlJc w:val="left"/>
      <w:pPr>
        <w:ind w:left="1440" w:hanging="7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2F7D7F02"/>
    <w:multiLevelType w:val="multilevel"/>
    <w:tmpl w:val="0407001D"/>
    <w:numStyleLink w:val="Formatvorlage3"/>
  </w:abstractNum>
  <w:abstractNum w:abstractNumId="1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8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9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4"/>
  </w:num>
  <w:num w:numId="2" w16cid:durableId="1733112609">
    <w:abstractNumId w:val="23"/>
  </w:num>
  <w:num w:numId="3" w16cid:durableId="286200695">
    <w:abstractNumId w:val="31"/>
  </w:num>
  <w:num w:numId="4" w16cid:durableId="487287975">
    <w:abstractNumId w:val="18"/>
  </w:num>
  <w:num w:numId="5" w16cid:durableId="1754350949">
    <w:abstractNumId w:val="26"/>
  </w:num>
  <w:num w:numId="6" w16cid:durableId="1507597667">
    <w:abstractNumId w:val="16"/>
  </w:num>
  <w:num w:numId="7" w16cid:durableId="139271283">
    <w:abstractNumId w:val="30"/>
  </w:num>
  <w:num w:numId="8" w16cid:durableId="763764270">
    <w:abstractNumId w:val="8"/>
  </w:num>
  <w:num w:numId="9" w16cid:durableId="1561986968">
    <w:abstractNumId w:val="24"/>
  </w:num>
  <w:num w:numId="10" w16cid:durableId="1349260748">
    <w:abstractNumId w:val="14"/>
  </w:num>
  <w:num w:numId="11" w16cid:durableId="1097991330">
    <w:abstractNumId w:val="20"/>
  </w:num>
  <w:num w:numId="12" w16cid:durableId="858469680">
    <w:abstractNumId w:val="10"/>
  </w:num>
  <w:num w:numId="13" w16cid:durableId="1485394352">
    <w:abstractNumId w:val="25"/>
  </w:num>
  <w:num w:numId="14" w16cid:durableId="881021889">
    <w:abstractNumId w:val="22"/>
  </w:num>
  <w:num w:numId="15" w16cid:durableId="1923681300">
    <w:abstractNumId w:val="13"/>
  </w:num>
  <w:num w:numId="16" w16cid:durableId="211188018">
    <w:abstractNumId w:val="19"/>
  </w:num>
  <w:num w:numId="17" w16cid:durableId="373817584">
    <w:abstractNumId w:val="12"/>
  </w:num>
  <w:num w:numId="18" w16cid:durableId="1615165847">
    <w:abstractNumId w:val="27"/>
  </w:num>
  <w:num w:numId="19" w16cid:durableId="429467310">
    <w:abstractNumId w:val="6"/>
  </w:num>
  <w:num w:numId="20" w16cid:durableId="430467532">
    <w:abstractNumId w:val="32"/>
  </w:num>
  <w:num w:numId="21" w16cid:durableId="1464036760">
    <w:abstractNumId w:val="5"/>
  </w:num>
  <w:num w:numId="22" w16cid:durableId="1079792157">
    <w:abstractNumId w:val="17"/>
  </w:num>
  <w:num w:numId="23" w16cid:durableId="1333265662">
    <w:abstractNumId w:val="3"/>
  </w:num>
  <w:num w:numId="24" w16cid:durableId="737484550">
    <w:abstractNumId w:val="15"/>
  </w:num>
  <w:num w:numId="25" w16cid:durableId="309210531">
    <w:abstractNumId w:val="29"/>
  </w:num>
  <w:num w:numId="26" w16cid:durableId="166527561">
    <w:abstractNumId w:val="1"/>
  </w:num>
  <w:num w:numId="27" w16cid:durableId="1544101633">
    <w:abstractNumId w:val="28"/>
  </w:num>
  <w:num w:numId="28" w16cid:durableId="44380249">
    <w:abstractNumId w:val="21"/>
  </w:num>
  <w:num w:numId="29" w16cid:durableId="1838038624">
    <w:abstractNumId w:val="0"/>
  </w:num>
  <w:num w:numId="30" w16cid:durableId="1856265522">
    <w:abstractNumId w:val="11"/>
  </w:num>
  <w:num w:numId="31" w16cid:durableId="29191537">
    <w:abstractNumId w:val="9"/>
  </w:num>
  <w:num w:numId="32" w16cid:durableId="142084302">
    <w:abstractNumId w:val="2"/>
  </w:num>
  <w:num w:numId="33" w16cid:durableId="2032368279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0682E"/>
    <w:rsid w:val="000467F0"/>
    <w:rsid w:val="000A5D83"/>
    <w:rsid w:val="000C3D68"/>
    <w:rsid w:val="000C6322"/>
    <w:rsid w:val="000D5912"/>
    <w:rsid w:val="00126E51"/>
    <w:rsid w:val="001E1834"/>
    <w:rsid w:val="001F45C7"/>
    <w:rsid w:val="00210485"/>
    <w:rsid w:val="002433A6"/>
    <w:rsid w:val="0029349B"/>
    <w:rsid w:val="00393F1E"/>
    <w:rsid w:val="003C214D"/>
    <w:rsid w:val="003E076B"/>
    <w:rsid w:val="003F0844"/>
    <w:rsid w:val="0042414E"/>
    <w:rsid w:val="0057678A"/>
    <w:rsid w:val="00582B0D"/>
    <w:rsid w:val="005E354B"/>
    <w:rsid w:val="006013AC"/>
    <w:rsid w:val="00621A3F"/>
    <w:rsid w:val="00626DD7"/>
    <w:rsid w:val="00631623"/>
    <w:rsid w:val="006B0F8A"/>
    <w:rsid w:val="0074573C"/>
    <w:rsid w:val="008A3C6B"/>
    <w:rsid w:val="008A5ABF"/>
    <w:rsid w:val="008C13A4"/>
    <w:rsid w:val="008C6BB9"/>
    <w:rsid w:val="009161EF"/>
    <w:rsid w:val="0094064F"/>
    <w:rsid w:val="0096584D"/>
    <w:rsid w:val="00974C97"/>
    <w:rsid w:val="009C098A"/>
    <w:rsid w:val="009D125A"/>
    <w:rsid w:val="00A53BD9"/>
    <w:rsid w:val="00A54B9F"/>
    <w:rsid w:val="00A6002C"/>
    <w:rsid w:val="00A77E8C"/>
    <w:rsid w:val="00A816FF"/>
    <w:rsid w:val="00AB3AA8"/>
    <w:rsid w:val="00B71F25"/>
    <w:rsid w:val="00B949C3"/>
    <w:rsid w:val="00B95971"/>
    <w:rsid w:val="00CC757F"/>
    <w:rsid w:val="00CD1BFF"/>
    <w:rsid w:val="00CF2E8B"/>
    <w:rsid w:val="00DB50AA"/>
    <w:rsid w:val="00E13BD0"/>
    <w:rsid w:val="00E26A90"/>
    <w:rsid w:val="00E3648D"/>
    <w:rsid w:val="00E87394"/>
    <w:rsid w:val="00EC2C42"/>
    <w:rsid w:val="00EF07A1"/>
    <w:rsid w:val="00EF2302"/>
    <w:rsid w:val="00F211BE"/>
    <w:rsid w:val="00F35049"/>
    <w:rsid w:val="00F37042"/>
    <w:rsid w:val="00F61AEB"/>
    <w:rsid w:val="00FB3D09"/>
    <w:rsid w:val="00FC2C95"/>
    <w:rsid w:val="00FC71D2"/>
    <w:rsid w:val="00FD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D09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FB3D09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FB3D09"/>
    <w:pPr>
      <w:keepNext/>
      <w:spacing w:before="240"/>
      <w:outlineLvl w:val="1"/>
    </w:pPr>
    <w:rPr>
      <w:rFonts w:eastAsia="Arial"/>
      <w:b/>
      <w:sz w:val="24"/>
      <w:u w:val="single"/>
      <w:lang w:val="da-DK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FB3D09"/>
    <w:pPr>
      <w:keepNext/>
      <w:spacing w:before="180"/>
      <w:outlineLvl w:val="2"/>
    </w:pPr>
    <w:rPr>
      <w:rFonts w:ascii="Arial" w:eastAsia="Arial" w:hAnsi="Arial"/>
      <w:b/>
      <w:szCs w:val="20"/>
      <w:lang w:val="da-DK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FB3D09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FB3D09"/>
    <w:pPr>
      <w:keepNext/>
      <w:spacing w:before="140"/>
      <w:outlineLvl w:val="4"/>
    </w:pPr>
    <w:rPr>
      <w:rFonts w:ascii="Arial" w:eastAsia="Arial" w:hAnsi="Arial"/>
      <w:b/>
      <w:i/>
      <w:szCs w:val="20"/>
      <w:lang w:val="da-DK" w:eastAsia="de-DE"/>
    </w:rPr>
  </w:style>
  <w:style w:type="paragraph" w:styleId="Heading6">
    <w:name w:val="heading 6"/>
    <w:basedOn w:val="Normal"/>
    <w:next w:val="Normal"/>
    <w:link w:val="Heading6Char"/>
    <w:qFormat/>
    <w:rsid w:val="00FB3D09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da-DK" w:eastAsia="de-DE"/>
    </w:rPr>
  </w:style>
  <w:style w:type="paragraph" w:styleId="Heading7">
    <w:name w:val="heading 7"/>
    <w:basedOn w:val="Normal"/>
    <w:next w:val="Normal"/>
    <w:link w:val="Heading7Char"/>
    <w:qFormat/>
    <w:rsid w:val="00FB3D09"/>
    <w:pPr>
      <w:spacing w:before="240" w:after="60"/>
      <w:outlineLvl w:val="6"/>
    </w:pPr>
    <w:rPr>
      <w:rFonts w:ascii="Times New Roman" w:eastAsia="Arial" w:hAnsi="Times New Roman"/>
      <w:szCs w:val="20"/>
      <w:lang w:val="da-DK" w:eastAsia="de-DE"/>
    </w:rPr>
  </w:style>
  <w:style w:type="paragraph" w:styleId="Heading8">
    <w:name w:val="heading 8"/>
    <w:basedOn w:val="Normal"/>
    <w:next w:val="Normal"/>
    <w:link w:val="Heading8Char"/>
    <w:qFormat/>
    <w:rsid w:val="00FB3D09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da-DK" w:eastAsia="de-DE"/>
    </w:rPr>
  </w:style>
  <w:style w:type="paragraph" w:styleId="Heading9">
    <w:name w:val="heading 9"/>
    <w:basedOn w:val="Normal"/>
    <w:next w:val="Normal"/>
    <w:link w:val="Heading9Char"/>
    <w:qFormat/>
    <w:rsid w:val="00FB3D09"/>
    <w:pPr>
      <w:spacing w:before="240" w:after="60"/>
      <w:outlineLvl w:val="8"/>
    </w:pPr>
    <w:rPr>
      <w:rFonts w:ascii="Arial" w:eastAsia="Arial" w:hAnsi="Arial"/>
      <w:szCs w:val="20"/>
      <w:lang w:val="da-DK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FB3D09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FB3D09"/>
    <w:rPr>
      <w:rFonts w:ascii="Verdana" w:eastAsia="Arial" w:hAnsi="Verdana" w:cs="Times New Roman"/>
      <w:b/>
      <w:kern w:val="0"/>
      <w:sz w:val="24"/>
      <w:szCs w:val="24"/>
      <w:u w:val="single"/>
      <w:lang w:val="da-DK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FB3D0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FB3D09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FB3D09"/>
    <w:rPr>
      <w:rFonts w:ascii="Arial" w:eastAsia="Arial" w:hAnsi="Arial" w:cs="Times New Roman"/>
      <w:b/>
      <w:i/>
      <w:kern w:val="0"/>
      <w:sz w:val="20"/>
      <w:szCs w:val="20"/>
      <w:lang w:val="da-DK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FB3D09"/>
    <w:rPr>
      <w:rFonts w:ascii="Times New Roman" w:eastAsia="Arial" w:hAnsi="Times New Roman" w:cs="Times New Roman"/>
      <w:b/>
      <w:bCs/>
      <w:kern w:val="0"/>
      <w:sz w:val="20"/>
      <w:szCs w:val="20"/>
      <w:lang w:val="da-DK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FB3D09"/>
    <w:rPr>
      <w:rFonts w:ascii="Times New Roman" w:eastAsia="Arial" w:hAnsi="Times New Roman" w:cs="Times New Roman"/>
      <w:kern w:val="0"/>
      <w:sz w:val="20"/>
      <w:szCs w:val="20"/>
      <w:lang w:val="da-DK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FB3D09"/>
    <w:rPr>
      <w:rFonts w:ascii="Times New Roman" w:eastAsia="Arial" w:hAnsi="Times New Roman" w:cs="Times New Roman"/>
      <w:i/>
      <w:iCs/>
      <w:kern w:val="0"/>
      <w:sz w:val="20"/>
      <w:szCs w:val="20"/>
      <w:lang w:val="da-DK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FB3D09"/>
    <w:rPr>
      <w:rFonts w:ascii="Arial" w:eastAsia="Arial" w:hAnsi="Arial" w:cs="Times New Roman"/>
      <w:kern w:val="0"/>
      <w:sz w:val="20"/>
      <w:szCs w:val="20"/>
      <w:lang w:val="da-DK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FB3D09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FB3D09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FB3D09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FB3D09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FB3D09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FB3D09"/>
    <w:pPr>
      <w:spacing w:line="180" w:lineRule="exact"/>
      <w:ind w:left="142" w:hanging="142"/>
    </w:pPr>
    <w:rPr>
      <w:rFonts w:ascii="Arial" w:eastAsia="Arial" w:hAnsi="Arial"/>
      <w:sz w:val="16"/>
      <w:szCs w:val="16"/>
      <w:lang w:val="da-DK" w:eastAsia="de-DE"/>
    </w:rPr>
  </w:style>
  <w:style w:type="character" w:customStyle="1" w:styleId="FootnoteTextChar">
    <w:name w:val="Footnote Text Char"/>
    <w:basedOn w:val="DefaultParagraphFont"/>
    <w:link w:val="FootnoteText"/>
    <w:rsid w:val="00FB3D09"/>
    <w:rPr>
      <w:rFonts w:ascii="Arial" w:eastAsia="Arial" w:hAnsi="Arial" w:cs="Times New Roman"/>
      <w:kern w:val="0"/>
      <w:sz w:val="16"/>
      <w:szCs w:val="16"/>
      <w:lang w:val="da-DK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FB3D09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FB3D09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da-DK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B3D09"/>
    <w:rPr>
      <w:rFonts w:ascii="Arial" w:eastAsia="Arial" w:hAnsi="Arial" w:cs="Times New Roman"/>
      <w:kern w:val="0"/>
      <w:sz w:val="14"/>
      <w:szCs w:val="14"/>
      <w:lang w:val="da-DK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FB3D09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FB3D09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FB3D09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FB3D09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FB3D09"/>
    <w:pPr>
      <w:spacing w:line="312" w:lineRule="auto"/>
      <w:ind w:left="1701" w:hanging="567"/>
    </w:pPr>
  </w:style>
  <w:style w:type="character" w:styleId="Hyperlink">
    <w:name w:val="Hyperlink"/>
    <w:uiPriority w:val="99"/>
    <w:rsid w:val="00FB3D09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FB3D09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FB3D09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FB3D09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FB3D09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FB3D09"/>
    <w:pPr>
      <w:numPr>
        <w:numId w:val="12"/>
      </w:numPr>
    </w:pPr>
  </w:style>
  <w:style w:type="character" w:styleId="PageNumber">
    <w:name w:val="page number"/>
    <w:uiPriority w:val="99"/>
    <w:rsid w:val="00FB3D09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FB3D09"/>
    <w:rPr>
      <w:rFonts w:ascii="Arial" w:eastAsia="Arial" w:hAnsi="Arial" w:cs="Times New Roman"/>
      <w:b/>
      <w:kern w:val="0"/>
      <w:sz w:val="20"/>
      <w:szCs w:val="20"/>
      <w:lang w:val="da-DK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FB3D09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FB3D09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B3D09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FB3D09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FB3D09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FB3D09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FB3D09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FB3D09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FB3D09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FB3D09"/>
    <w:rPr>
      <w:rFonts w:ascii="Arial" w:eastAsia="Arial" w:hAnsi="Arial"/>
      <w:i/>
      <w:iCs/>
      <w:color w:val="000000"/>
      <w:szCs w:val="20"/>
      <w:lang w:val="da-DK" w:eastAsia="de-DE"/>
    </w:rPr>
  </w:style>
  <w:style w:type="character" w:customStyle="1" w:styleId="QuoteChar">
    <w:name w:val="Quote Char"/>
    <w:basedOn w:val="DefaultParagraphFont"/>
    <w:link w:val="Quote"/>
    <w:uiPriority w:val="29"/>
    <w:rsid w:val="00FB3D09"/>
    <w:rPr>
      <w:rFonts w:ascii="Arial" w:eastAsia="Arial" w:hAnsi="Arial" w:cs="Times New Roman"/>
      <w:i/>
      <w:iCs/>
      <w:color w:val="000000"/>
      <w:kern w:val="0"/>
      <w:sz w:val="20"/>
      <w:szCs w:val="20"/>
      <w:lang w:val="da-DK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FB3D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FB3D09"/>
    <w:pPr>
      <w:spacing w:line="180" w:lineRule="exact"/>
      <w:ind w:left="142" w:hanging="142"/>
    </w:pPr>
    <w:rPr>
      <w:rFonts w:ascii="Arial" w:eastAsia="Arial" w:hAnsi="Arial"/>
      <w:szCs w:val="20"/>
      <w:lang w:val="da-DK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FB3D09"/>
    <w:rPr>
      <w:rFonts w:ascii="Arial" w:eastAsia="Arial" w:hAnsi="Arial" w:cs="Times New Roman"/>
      <w:kern w:val="0"/>
      <w:sz w:val="20"/>
      <w:szCs w:val="20"/>
      <w:lang w:val="da-DK" w:eastAsia="de-DE"/>
      <w14:ligatures w14:val="none"/>
    </w:rPr>
  </w:style>
  <w:style w:type="character" w:styleId="EndnoteReference">
    <w:name w:val="endnote reference"/>
    <w:uiPriority w:val="1"/>
    <w:rsid w:val="00FB3D09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FB3D0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FB3D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B3D09"/>
    <w:rPr>
      <w:rFonts w:eastAsia="Arial"/>
      <w:szCs w:val="20"/>
      <w:lang w:val="da-DK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D09"/>
    <w:rPr>
      <w:rFonts w:ascii="Verdana" w:eastAsia="Arial" w:hAnsi="Verdana" w:cs="Times New Roman"/>
      <w:kern w:val="0"/>
      <w:sz w:val="20"/>
      <w:szCs w:val="20"/>
      <w:lang w:val="da-DK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FB3D09"/>
    <w:rPr>
      <w:b/>
      <w:bCs/>
    </w:rPr>
  </w:style>
  <w:style w:type="character" w:styleId="FollowedHyperlink">
    <w:name w:val="FollowedHyperlink"/>
    <w:uiPriority w:val="99"/>
    <w:rsid w:val="00FB3D09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FB3D09"/>
    <w:rPr>
      <w:rFonts w:ascii="Tahoma" w:eastAsia="Arial" w:hAnsi="Tahoma"/>
      <w:sz w:val="16"/>
      <w:szCs w:val="16"/>
      <w:lang w:val="da-DK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B3D09"/>
    <w:rPr>
      <w:rFonts w:ascii="Tahoma" w:eastAsia="Arial" w:hAnsi="Tahoma" w:cs="Times New Roman"/>
      <w:kern w:val="0"/>
      <w:sz w:val="16"/>
      <w:szCs w:val="16"/>
      <w:lang w:val="da-DK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3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B3D09"/>
    <w:rPr>
      <w:rFonts w:ascii="Verdana" w:eastAsia="Arial" w:hAnsi="Verdana" w:cs="Times New Roman"/>
      <w:b/>
      <w:bCs/>
      <w:kern w:val="0"/>
      <w:sz w:val="20"/>
      <w:szCs w:val="20"/>
      <w:lang w:val="da-DK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FB3D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da-DK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B3D09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FB3D09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FB3D09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FB3D09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FB3D09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da-DK" w:eastAsia="en-US"/>
    </w:rPr>
  </w:style>
  <w:style w:type="character" w:customStyle="1" w:styleId="Instructionsberschrift3Zchn">
    <w:name w:val="Instructions Überschrift 3 Zchn"/>
    <w:link w:val="Instructionsberschrift3"/>
    <w:locked/>
    <w:rsid w:val="00FB3D09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B3D09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FB3D09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FB3D09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FB3D09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FB3D09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FB3D09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B3D09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FB3D09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FB3D09"/>
    <w:pPr>
      <w:ind w:left="720"/>
    </w:pPr>
  </w:style>
  <w:style w:type="paragraph" w:customStyle="1" w:styleId="Prrafodelista2">
    <w:name w:val="Párrafo de lista2"/>
    <w:basedOn w:val="Normal"/>
    <w:uiPriority w:val="99"/>
    <w:rsid w:val="00FB3D09"/>
    <w:pPr>
      <w:ind w:left="708"/>
    </w:pPr>
  </w:style>
  <w:style w:type="paragraph" w:styleId="PlainText">
    <w:name w:val="Plain Text"/>
    <w:basedOn w:val="Normal"/>
    <w:link w:val="PlainTextChar"/>
    <w:uiPriority w:val="99"/>
    <w:rsid w:val="00FB3D09"/>
    <w:pPr>
      <w:spacing w:before="0" w:after="0"/>
      <w:jc w:val="left"/>
    </w:pPr>
    <w:rPr>
      <w:rFonts w:eastAsia="Arial"/>
      <w:szCs w:val="20"/>
      <w:lang w:val="da-DK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B3D09"/>
    <w:rPr>
      <w:rFonts w:ascii="Verdana" w:eastAsia="Arial" w:hAnsi="Verdana" w:cs="Times New Roman"/>
      <w:kern w:val="0"/>
      <w:sz w:val="20"/>
      <w:szCs w:val="20"/>
      <w:lang w:val="da-DK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FB3D09"/>
    <w:pPr>
      <w:ind w:left="708"/>
    </w:pPr>
  </w:style>
  <w:style w:type="character" w:customStyle="1" w:styleId="InstructionsTextChar">
    <w:name w:val="Instructions Text Char"/>
    <w:link w:val="InstructionsText"/>
    <w:locked/>
    <w:rsid w:val="00FB3D09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FB3D09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da-DK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FB3D09"/>
    <w:pPr>
      <w:ind w:left="708"/>
    </w:pPr>
  </w:style>
  <w:style w:type="character" w:styleId="PlaceholderText">
    <w:name w:val="Placeholder Text"/>
    <w:uiPriority w:val="99"/>
    <w:semiHidden/>
    <w:rsid w:val="00FB3D09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FB3D09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FB3D09"/>
    <w:rPr>
      <w:rFonts w:ascii="Verdana" w:hAnsi="Verdana" w:cs="Arial"/>
      <w:b/>
      <w:bCs/>
      <w:sz w:val="26"/>
      <w:szCs w:val="26"/>
      <w:u w:val="single"/>
      <w:lang w:val="da-DK" w:eastAsia="en-US" w:bidi="ar-SA"/>
    </w:rPr>
  </w:style>
  <w:style w:type="paragraph" w:customStyle="1" w:styleId="CM4">
    <w:name w:val="CM4"/>
    <w:basedOn w:val="Normal"/>
    <w:next w:val="Normal"/>
    <w:uiPriority w:val="99"/>
    <w:rsid w:val="00FB3D09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a-DK"/>
    </w:rPr>
  </w:style>
  <w:style w:type="paragraph" w:styleId="DocumentMap">
    <w:name w:val="Document Map"/>
    <w:basedOn w:val="Normal"/>
    <w:link w:val="DocumentMapChar"/>
    <w:uiPriority w:val="99"/>
    <w:semiHidden/>
    <w:rsid w:val="00FB3D09"/>
    <w:pPr>
      <w:spacing w:before="0" w:after="0"/>
    </w:pPr>
    <w:rPr>
      <w:rFonts w:ascii="Tahoma" w:eastAsia="Arial" w:hAnsi="Tahoma"/>
      <w:sz w:val="16"/>
      <w:szCs w:val="16"/>
      <w:lang w:val="da-DK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D09"/>
    <w:rPr>
      <w:rFonts w:ascii="Tahoma" w:eastAsia="Arial" w:hAnsi="Tahoma" w:cs="Times New Roman"/>
      <w:kern w:val="0"/>
      <w:sz w:val="16"/>
      <w:szCs w:val="16"/>
      <w:lang w:val="da-DK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FB3D09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B3D09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FB3D09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FB3D09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FB3D09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FB3D09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FB3D09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FB3D09"/>
    <w:pPr>
      <w:numPr>
        <w:numId w:val="6"/>
      </w:numPr>
    </w:pPr>
  </w:style>
  <w:style w:type="numbering" w:customStyle="1" w:styleId="Formatvorlage3">
    <w:name w:val="Formatvorlage3"/>
    <w:uiPriority w:val="99"/>
    <w:rsid w:val="00FB3D09"/>
    <w:pPr>
      <w:numPr>
        <w:numId w:val="16"/>
      </w:numPr>
    </w:pPr>
  </w:style>
  <w:style w:type="numbering" w:customStyle="1" w:styleId="Formatvorlage1">
    <w:name w:val="Formatvorlage1"/>
    <w:uiPriority w:val="99"/>
    <w:rsid w:val="00FB3D09"/>
    <w:pPr>
      <w:numPr>
        <w:numId w:val="5"/>
      </w:numPr>
    </w:pPr>
  </w:style>
  <w:style w:type="numbering" w:customStyle="1" w:styleId="Formatvorlage4">
    <w:name w:val="Formatvorlage4"/>
    <w:uiPriority w:val="99"/>
    <w:rsid w:val="00FB3D09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FB3D09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FB3D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FB3D09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FB3D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FB3D09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da-DK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FB3D09"/>
    <w:pPr>
      <w:ind w:left="708"/>
    </w:pPr>
  </w:style>
  <w:style w:type="character" w:customStyle="1" w:styleId="Platzhaltertext1">
    <w:name w:val="Platzhaltertext1"/>
    <w:uiPriority w:val="99"/>
    <w:semiHidden/>
    <w:rsid w:val="00FB3D09"/>
    <w:rPr>
      <w:color w:val="808080"/>
    </w:rPr>
  </w:style>
  <w:style w:type="paragraph" w:customStyle="1" w:styleId="Default">
    <w:name w:val="Default"/>
    <w:rsid w:val="00FB3D09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FB3D09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B3D09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FB3D09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FB3D09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FB3D09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FB3D09"/>
    <w:pPr>
      <w:spacing w:before="240" w:after="120" w:line="276" w:lineRule="auto"/>
      <w:jc w:val="both"/>
    </w:pPr>
    <w:rPr>
      <w:rFonts w:eastAsiaTheme="minorEastAsia"/>
      <w:kern w:val="0"/>
      <w:szCs w:val="24"/>
      <w:lang w:val="da-DK"/>
      <w14:ligatures w14:val="none"/>
    </w:rPr>
  </w:style>
  <w:style w:type="paragraph" w:customStyle="1" w:styleId="Applicationdirecte">
    <w:name w:val="Application directe"/>
    <w:basedOn w:val="Normal"/>
    <w:next w:val="Fait"/>
    <w:rsid w:val="00FB3D09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FB3D09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FB3D09"/>
    <w:pPr>
      <w:numPr>
        <w:numId w:val="27"/>
      </w:numPr>
    </w:pPr>
  </w:style>
  <w:style w:type="paragraph" w:customStyle="1" w:styleId="Numberedtitlelevel2">
    <w:name w:val="Numbered title level 2"/>
    <w:basedOn w:val="Titlelevel2"/>
    <w:next w:val="body"/>
    <w:qFormat/>
    <w:rsid w:val="00FB3D09"/>
    <w:pPr>
      <w:numPr>
        <w:ilvl w:val="1"/>
        <w:numId w:val="27"/>
      </w:numPr>
    </w:pPr>
  </w:style>
  <w:style w:type="paragraph" w:customStyle="1" w:styleId="Titlelevel2">
    <w:name w:val="Title level 2"/>
    <w:qFormat/>
    <w:rsid w:val="00FB3D09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:lang w:val="da-DK"/>
      <w14:ligatures w14:val="none"/>
    </w:rPr>
  </w:style>
  <w:style w:type="paragraph" w:customStyle="1" w:styleId="Tableheader">
    <w:name w:val="Table header"/>
    <w:next w:val="Tabledata"/>
    <w:qFormat/>
    <w:rsid w:val="00FB3D09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da-DK"/>
      <w14:ligatures w14:val="none"/>
    </w:rPr>
  </w:style>
  <w:style w:type="paragraph" w:customStyle="1" w:styleId="Tabledata">
    <w:name w:val="Table data"/>
    <w:basedOn w:val="body"/>
    <w:qFormat/>
    <w:rsid w:val="00FB3D09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da-DK" w:eastAsia="en-GB"/>
    </w:rPr>
  </w:style>
  <w:style w:type="paragraph" w:customStyle="1" w:styleId="List1">
    <w:name w:val="List1"/>
    <w:autoRedefine/>
    <w:qFormat/>
    <w:rsid w:val="00FB3D09"/>
    <w:pPr>
      <w:numPr>
        <w:numId w:val="25"/>
      </w:numPr>
      <w:spacing w:after="0" w:line="240" w:lineRule="auto"/>
    </w:pPr>
    <w:rPr>
      <w:rFonts w:eastAsiaTheme="minorEastAsia"/>
      <w:kern w:val="0"/>
      <w:lang w:val="da-DK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FB3D09"/>
    <w:pPr>
      <w:spacing w:after="0" w:line="240" w:lineRule="auto"/>
    </w:pPr>
    <w:rPr>
      <w:rFonts w:eastAsiaTheme="minorEastAsia"/>
      <w:kern w:val="0"/>
      <w:sz w:val="24"/>
      <w:szCs w:val="24"/>
      <w:lang w:val="da-DK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FB3D09"/>
    <w:pPr>
      <w:numPr>
        <w:numId w:val="26"/>
      </w:numPr>
      <w:spacing w:before="240" w:after="120" w:line="240" w:lineRule="auto"/>
      <w:contextualSpacing/>
    </w:pPr>
    <w:rPr>
      <w:rFonts w:eastAsiaTheme="minorEastAsia"/>
      <w:kern w:val="0"/>
      <w:szCs w:val="24"/>
      <w:lang w:val="da-DK"/>
      <w14:ligatures w14:val="none"/>
    </w:rPr>
  </w:style>
  <w:style w:type="paragraph" w:customStyle="1" w:styleId="Titlelevel1">
    <w:name w:val="Title level 1"/>
    <w:autoRedefine/>
    <w:qFormat/>
    <w:rsid w:val="00FB3D09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da-DK"/>
      <w14:ligatures w14:val="none"/>
    </w:rPr>
  </w:style>
  <w:style w:type="paragraph" w:customStyle="1" w:styleId="Titlelevel3">
    <w:name w:val="Title level 3"/>
    <w:qFormat/>
    <w:rsid w:val="00FB3D09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:lang w:val="da-DK"/>
      <w14:ligatures w14:val="none"/>
    </w:rPr>
  </w:style>
  <w:style w:type="paragraph" w:customStyle="1" w:styleId="Titlelevel4">
    <w:name w:val="Title level 4"/>
    <w:next w:val="body"/>
    <w:qFormat/>
    <w:rsid w:val="00FB3D09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:lang w:val="da-DK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FB3D09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da-DK" w:eastAsia="en-GB"/>
    </w:rPr>
  </w:style>
  <w:style w:type="table" w:customStyle="1" w:styleId="EBAtable">
    <w:name w:val="EBA table"/>
    <w:basedOn w:val="TableNormal"/>
    <w:uiPriority w:val="99"/>
    <w:rsid w:val="00FB3D09"/>
    <w:pPr>
      <w:spacing w:after="0" w:line="240" w:lineRule="auto"/>
    </w:pPr>
    <w:rPr>
      <w:rFonts w:eastAsiaTheme="minorEastAsia"/>
      <w:kern w:val="0"/>
      <w:sz w:val="24"/>
      <w:szCs w:val="24"/>
      <w:lang w:val="da-DK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FB3D09"/>
    <w:pPr>
      <w:spacing w:after="0" w:line="240" w:lineRule="auto"/>
    </w:pPr>
    <w:rPr>
      <w:rFonts w:eastAsiaTheme="minorEastAsia"/>
      <w:caps/>
      <w:kern w:val="0"/>
      <w:sz w:val="16"/>
      <w:szCs w:val="18"/>
      <w:lang w:val="da-DK"/>
      <w14:ligatures w14:val="none"/>
    </w:rPr>
  </w:style>
  <w:style w:type="paragraph" w:customStyle="1" w:styleId="bullet1">
    <w:name w:val="bullet 1"/>
    <w:basedOn w:val="body"/>
    <w:next w:val="body"/>
    <w:qFormat/>
    <w:rsid w:val="00FB3D09"/>
    <w:pPr>
      <w:numPr>
        <w:numId w:val="23"/>
      </w:numPr>
    </w:pPr>
    <w:rPr>
      <w:szCs w:val="22"/>
    </w:rPr>
  </w:style>
  <w:style w:type="paragraph" w:customStyle="1" w:styleId="bullet2">
    <w:name w:val="bullet 2"/>
    <w:basedOn w:val="body"/>
    <w:qFormat/>
    <w:rsid w:val="00FB3D09"/>
    <w:pPr>
      <w:numPr>
        <w:numId w:val="2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FB3D09"/>
    <w:pPr>
      <w:numPr>
        <w:ilvl w:val="2"/>
        <w:numId w:val="27"/>
      </w:numPr>
    </w:pPr>
  </w:style>
  <w:style w:type="table" w:styleId="LightShading">
    <w:name w:val="Light Shading"/>
    <w:basedOn w:val="TableNormal"/>
    <w:uiPriority w:val="60"/>
    <w:rsid w:val="00FB3D09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da-DK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B3D09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:lang w:val="da-DK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FB3D09"/>
  </w:style>
  <w:style w:type="paragraph" w:customStyle="1" w:styleId="Numberedtitlelevel4">
    <w:name w:val="Numbered title level 4"/>
    <w:basedOn w:val="Titlelevel4"/>
    <w:qFormat/>
    <w:rsid w:val="00FB3D09"/>
    <w:pPr>
      <w:numPr>
        <w:numId w:val="24"/>
      </w:numPr>
    </w:pPr>
  </w:style>
  <w:style w:type="paragraph" w:styleId="Title">
    <w:name w:val="Title"/>
    <w:basedOn w:val="Normal"/>
    <w:next w:val="Normal"/>
    <w:link w:val="TitleChar"/>
    <w:qFormat/>
    <w:rsid w:val="00FB3D09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da-DK"/>
    </w:rPr>
  </w:style>
  <w:style w:type="character" w:customStyle="1" w:styleId="TitleChar">
    <w:name w:val="Title Char"/>
    <w:basedOn w:val="DefaultParagraphFont"/>
    <w:link w:val="Title"/>
    <w:rsid w:val="00FB3D09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da-DK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FB3D09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FB3D09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FB3D09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FB3D09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FB3D09"/>
    <w:rPr>
      <w:bCs/>
      <w:lang w:val="da-DK" w:eastAsia="en-GB"/>
    </w:rPr>
  </w:style>
  <w:style w:type="paragraph" w:styleId="ListBullet">
    <w:name w:val="List Bullet"/>
    <w:basedOn w:val="Normal"/>
    <w:semiHidden/>
    <w:qFormat/>
    <w:rsid w:val="00FB3D09"/>
    <w:pPr>
      <w:numPr>
        <w:numId w:val="29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da-DK"/>
    </w:rPr>
  </w:style>
  <w:style w:type="paragraph" w:customStyle="1" w:styleId="numberedparagraph">
    <w:name w:val="numbered paragraph"/>
    <w:basedOn w:val="body"/>
    <w:qFormat/>
    <w:rsid w:val="00FB3D09"/>
    <w:pPr>
      <w:numPr>
        <w:numId w:val="28"/>
      </w:numPr>
    </w:pPr>
  </w:style>
  <w:style w:type="character" w:customStyle="1" w:styleId="Marker">
    <w:name w:val="Marker"/>
    <w:rsid w:val="00FB3D09"/>
    <w:rPr>
      <w:color w:val="0000FF"/>
      <w:shd w:val="clear" w:color="auto" w:fill="auto"/>
    </w:rPr>
  </w:style>
  <w:style w:type="character" w:customStyle="1" w:styleId="Marker2">
    <w:name w:val="Marker2"/>
    <w:rsid w:val="00FB3D09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FB3D09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FB3D09"/>
    <w:pPr>
      <w:numPr>
        <w:numId w:val="30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FB3D09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FB3D09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FB3D09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FB3D09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FB3D09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FB3D09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FB3D09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FB3D09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FB3D09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  <w:lang w:val="da-DK"/>
    </w:rPr>
  </w:style>
  <w:style w:type="paragraph" w:customStyle="1" w:styleId="TableNote">
    <w:name w:val="TableNote"/>
    <w:basedOn w:val="Normal"/>
    <w:rsid w:val="00FB3D09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31">
    <w:name w:val="CM3+1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13">
    <w:name w:val="CM1+3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33">
    <w:name w:val="CM3+3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da-DK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B3D09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3D0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3D09"/>
    <w:rPr>
      <w:color w:val="2B579A"/>
      <w:shd w:val="clear" w:color="auto" w:fill="E1DFDD"/>
    </w:rPr>
  </w:style>
  <w:style w:type="paragraph" w:customStyle="1" w:styleId="pf0">
    <w:name w:val="pf0"/>
    <w:basedOn w:val="Normal"/>
    <w:rsid w:val="00FB3D09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FB3D09"/>
  </w:style>
  <w:style w:type="character" w:customStyle="1" w:styleId="cf01">
    <w:name w:val="cf01"/>
    <w:basedOn w:val="DefaultParagraphFont"/>
    <w:rsid w:val="00FB3D09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FB3D09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a-DK" w:eastAsia="zh-CN" w:bidi="hi-IN"/>
    </w:rPr>
  </w:style>
  <w:style w:type="character" w:customStyle="1" w:styleId="BodyTextChar">
    <w:name w:val="Body Text Char"/>
    <w:basedOn w:val="DefaultParagraphFont"/>
    <w:link w:val="BodyText"/>
    <w:rsid w:val="00FB3D09"/>
    <w:rPr>
      <w:rFonts w:ascii="Liberation Serif" w:eastAsia="SimSun" w:hAnsi="Liberation Serif" w:cs="Lucida Sans"/>
      <w:kern w:val="0"/>
      <w:sz w:val="24"/>
      <w:szCs w:val="24"/>
      <w:lang w:val="da-DK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FB3D09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a-DK" w:eastAsia="zh-CN" w:bidi="hi-IN"/>
    </w:rPr>
  </w:style>
  <w:style w:type="character" w:customStyle="1" w:styleId="cf11">
    <w:name w:val="cf11"/>
    <w:basedOn w:val="DefaultParagraphFont"/>
    <w:rsid w:val="00FB3D09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2D7CC5-0CED-4B32-80E7-C8F4B116C919}"/>
</file>

<file path=customXml/itemProps2.xml><?xml version="1.0" encoding="utf-8"?>
<ds:datastoreItem xmlns:ds="http://schemas.openxmlformats.org/officeDocument/2006/customXml" ds:itemID="{CE515D26-D1AF-4358-A209-C917BC472C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EEAC2-429F-490C-9E25-655FD78C3A3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9193</Words>
  <Characters>52405</Characters>
  <Application>Microsoft Office Word</Application>
  <DocSecurity>0</DocSecurity>
  <Lines>436</Lines>
  <Paragraphs>122</Paragraphs>
  <ScaleCrop>false</ScaleCrop>
  <Company/>
  <LinksUpToDate>false</LinksUpToDate>
  <CharactersWithSpaces>61476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2024-06-19T17:58:00Z</dcterms:created>
  <dcterms:modified xsi:type="dcterms:W3CDTF">2024-06-21T12:19:00Z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